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00" w:after="240"/>
        <w:jc w:val="center"/>
      </w:pPr>
      <w:r>
        <w:drawing>
          <wp:inline xmlns:a="http://schemas.openxmlformats.org/drawingml/2006/main" xmlns:pic="http://schemas.openxmlformats.org/drawingml/2006/picture">
            <wp:extent cx="2377440" cy="2377440"/>
            <wp:docPr id="1" name="Picture 1"/>
            <wp:cNvGraphicFramePr>
              <a:graphicFrameLocks noChangeAspect="1"/>
            </wp:cNvGraphicFramePr>
            <a:graphic>
              <a:graphicData uri="http://schemas.openxmlformats.org/drawingml/2006/picture">
                <pic:pic>
                  <pic:nvPicPr>
                    <pic:cNvPr id="0" name="logo.png"/>
                    <pic:cNvPicPr/>
                  </pic:nvPicPr>
                  <pic:blipFill>
                    <a:blip r:embed="rId11"/>
                    <a:stretch>
                      <a:fillRect/>
                    </a:stretch>
                  </pic:blipFill>
                  <pic:spPr>
                    <a:xfrm>
                      <a:off x="0" y="0"/>
                      <a:ext cx="2377440" cy="2377440"/>
                    </a:xfrm>
                    <a:prstGeom prst="rect"/>
                  </pic:spPr>
                </pic:pic>
              </a:graphicData>
            </a:graphic>
          </wp:inline>
        </w:drawing>
      </w:r>
    </w:p>
    <w:p>
      <w:pPr>
        <w:bidi w:val="1"/>
        <w:spacing w:after="120"/>
        <w:jc w:val="center"/>
      </w:pPr>
      <w:r>
        <w:rPr>
          <w:rFonts w:ascii="Cairo" w:hAnsi="Cairo"/>
          <w:b/>
          <w:color w:val="001533"/>
          <w:sz w:val="46"/>
        </w:rPr>
        <w:t>الدليل التشغيلي المرجعي للمبيعات الميدانية والتسويق الطبي</w:t>
      </w:r>
    </w:p>
    <w:p>
      <w:pPr>
        <w:bidi w:val="1"/>
        <w:spacing w:after="400"/>
        <w:jc w:val="center"/>
      </w:pPr>
      <w:r>
        <w:rPr>
          <w:rFonts w:ascii="Outfit" w:hAnsi="Outfit"/>
          <w:b/>
          <w:color w:val="0066FF"/>
          <w:sz w:val="26"/>
        </w:rPr>
        <w:t xml:space="preserve">Mandoobi CRM </w:t>
      </w:r>
      <w:r>
        <w:rPr>
          <w:rFonts w:ascii="Cairo" w:hAnsi="Cairo"/>
          <w:color w:val="0E8A07"/>
          <w:sz w:val="24"/>
        </w:rPr>
        <w:t>| مندوبي — أتمتة خطوط السير، توثيق GPS، شجرة التوزيع، وتوريد الأدوية B2B</w:t>
      </w:r>
    </w:p>
    <w:tbl>
      <w:tblPr>
        <w:tblW w:type="auto" w:w="0"/>
        <w:jc w:val="center"/>
        <w:tblLook w:firstColumn="1" w:firstRow="1" w:lastColumn="0" w:lastRow="0" w:noHBand="0" w:noVBand="1" w:val="04A0"/>
        <w:bidiVisual/>
      </w:tblPr>
      <w:tblGrid>
        <w:gridCol w:w="4824"/>
        <w:gridCol w:w="4824"/>
      </w:tblGrid>
      <w:tr>
        <w:tc>
          <w:tcPr>
            <w:tcW w:type="dxa" w:w="4824"/>
            <w:shd w:fill="F0F9FF"/>
            <w:tcMar>
              <w:top w:w="80" w:type="dxa"/>
              <w:bottom w:w="80" w:type="dxa"/>
              <w:left w:w="150" w:type="dxa"/>
              <w:right w:w="150" w:type="dxa"/>
            </w:tcMar>
          </w:tcPr>
          <w:p>
            <w:pPr>
              <w:bidi w:val="1"/>
              <w:jc w:val="right"/>
            </w:pPr>
            <w:r>
              <w:rPr>
                <w:rFonts w:ascii="Cairo" w:hAnsi="Cairo"/>
                <w:b/>
                <w:color w:val="001533"/>
                <w:sz w:val="20"/>
              </w:rPr>
              <w:t>الإصدار البرمجي المعتمد:</w:t>
            </w:r>
          </w:p>
        </w:tc>
        <w:tc>
          <w:tcPr>
            <w:tcW w:type="dxa" w:w="4824"/>
            <w:shd w:fill="FFFFFF"/>
            <w:tcMar>
              <w:top w:w="80" w:type="dxa"/>
              <w:bottom w:w="80" w:type="dxa"/>
              <w:left w:w="150" w:type="dxa"/>
              <w:right w:w="150" w:type="dxa"/>
            </w:tcMar>
          </w:tcPr>
          <w:p>
            <w:pPr>
              <w:bidi w:val="1"/>
              <w:jc w:val="right"/>
            </w:pPr>
            <w:r>
              <w:rPr>
                <w:rFonts w:ascii="Cairo" w:hAnsi="Cairo"/>
                <w:color w:val="1E293B"/>
                <w:sz w:val="19"/>
              </w:rPr>
              <w:t>v1.1.2 Field Force Enterprise Suite</w:t>
            </w:r>
          </w:p>
        </w:tc>
      </w:tr>
      <w:tr>
        <w:tc>
          <w:tcPr>
            <w:tcW w:type="dxa" w:w="4824"/>
            <w:shd w:fill="F0F9FF"/>
            <w:tcMar>
              <w:top w:w="80" w:type="dxa"/>
              <w:bottom w:w="80" w:type="dxa"/>
              <w:left w:w="150" w:type="dxa"/>
              <w:right w:w="150" w:type="dxa"/>
            </w:tcMar>
          </w:tcPr>
          <w:p>
            <w:pPr>
              <w:bidi w:val="1"/>
              <w:jc w:val="right"/>
            </w:pPr>
            <w:r>
              <w:rPr>
                <w:rFonts w:ascii="Cairo" w:hAnsi="Cairo"/>
                <w:b/>
                <w:color w:val="001533"/>
                <w:sz w:val="20"/>
              </w:rPr>
              <w:t>المنظومة الأم الحاضنة:</w:t>
            </w:r>
          </w:p>
        </w:tc>
        <w:tc>
          <w:tcPr>
            <w:tcW w:type="dxa" w:w="4824"/>
            <w:shd w:fill="FFFFFF"/>
            <w:tcMar>
              <w:top w:w="80" w:type="dxa"/>
              <w:bottom w:w="80" w:type="dxa"/>
              <w:left w:w="150" w:type="dxa"/>
              <w:right w:w="150" w:type="dxa"/>
            </w:tcMar>
          </w:tcPr>
          <w:p>
            <w:pPr>
              <w:bidi w:val="1"/>
              <w:jc w:val="right"/>
            </w:pPr>
            <w:r>
              <w:rPr>
                <w:rFonts w:ascii="Cairo" w:hAnsi="Cairo"/>
                <w:color w:val="1E293B"/>
                <w:sz w:val="19"/>
              </w:rPr>
              <w:t>منظومة صحة اليمن السيادية (Yemen Health OS)</w:t>
            </w:r>
          </w:p>
        </w:tc>
      </w:tr>
      <w:tr>
        <w:tc>
          <w:tcPr>
            <w:tcW w:type="dxa" w:w="4824"/>
            <w:shd w:fill="F0F9FF"/>
            <w:tcMar>
              <w:top w:w="80" w:type="dxa"/>
              <w:bottom w:w="80" w:type="dxa"/>
              <w:left w:w="150" w:type="dxa"/>
              <w:right w:w="150" w:type="dxa"/>
            </w:tcMar>
          </w:tcPr>
          <w:p>
            <w:pPr>
              <w:bidi w:val="1"/>
              <w:jc w:val="right"/>
            </w:pPr>
            <w:r>
              <w:rPr>
                <w:rFonts w:ascii="Cairo" w:hAnsi="Cairo"/>
                <w:b/>
                <w:color w:val="001533"/>
                <w:sz w:val="20"/>
              </w:rPr>
              <w:t>البوابة الإلكترونية المباشرة:</w:t>
            </w:r>
          </w:p>
        </w:tc>
        <w:tc>
          <w:tcPr>
            <w:tcW w:type="dxa" w:w="4824"/>
            <w:shd w:fill="FFFFFF"/>
            <w:tcMar>
              <w:top w:w="80" w:type="dxa"/>
              <w:bottom w:w="80" w:type="dxa"/>
              <w:left w:w="150" w:type="dxa"/>
              <w:right w:w="150" w:type="dxa"/>
            </w:tcMar>
          </w:tcPr>
          <w:p>
            <w:pPr>
              <w:bidi w:val="1"/>
              <w:jc w:val="right"/>
            </w:pPr>
            <w:r>
              <w:rPr>
                <w:rFonts w:ascii="Cairo" w:hAnsi="Cairo"/>
                <w:color w:val="1E293B"/>
                <w:sz w:val="19"/>
              </w:rPr>
              <w:t>https://yemenhealthos.com/ar/marketing/dashboard/</w:t>
            </w:r>
          </w:p>
        </w:tc>
      </w:tr>
      <w:tr>
        <w:tc>
          <w:tcPr>
            <w:tcW w:type="dxa" w:w="4824"/>
            <w:shd w:fill="F0F9FF"/>
            <w:tcMar>
              <w:top w:w="80" w:type="dxa"/>
              <w:bottom w:w="80" w:type="dxa"/>
              <w:left w:w="150" w:type="dxa"/>
              <w:right w:w="150" w:type="dxa"/>
            </w:tcMar>
          </w:tcPr>
          <w:p>
            <w:pPr>
              <w:bidi w:val="1"/>
              <w:jc w:val="right"/>
            </w:pPr>
            <w:r>
              <w:rPr>
                <w:rFonts w:ascii="Cairo" w:hAnsi="Cairo"/>
                <w:b/>
                <w:color w:val="001533"/>
                <w:sz w:val="20"/>
              </w:rPr>
              <w:t>الفئات والكوادر المستهدفة:</w:t>
            </w:r>
          </w:p>
        </w:tc>
        <w:tc>
          <w:tcPr>
            <w:tcW w:type="dxa" w:w="4824"/>
            <w:shd w:fill="FFFFFF"/>
            <w:tcMar>
              <w:top w:w="80" w:type="dxa"/>
              <w:bottom w:w="80" w:type="dxa"/>
              <w:left w:w="150" w:type="dxa"/>
              <w:right w:w="150" w:type="dxa"/>
            </w:tcMar>
          </w:tcPr>
          <w:p>
            <w:pPr>
              <w:bidi w:val="1"/>
              <w:jc w:val="right"/>
            </w:pPr>
            <w:r>
              <w:rPr>
                <w:rFonts w:ascii="Cairo" w:hAnsi="Cairo"/>
                <w:color w:val="1E293B"/>
                <w:sz w:val="19"/>
              </w:rPr>
              <w:t>الوكلاء الإقليميون، المشرفون الميدانيون، مناديب الدعاية، وسفراء الجامعات</w:t>
            </w:r>
          </w:p>
        </w:tc>
      </w:tr>
    </w:tbl>
    <w:p>
      <w:r>
        <w:br w:type="page"/>
      </w:r>
    </w:p>
    <w:p>
      <w:pPr>
        <w:bidi w:val="1"/>
        <w:jc w:val="right"/>
      </w:pPr>
      <w:r>
        <w:rPr>
          <w:rFonts w:ascii="Cairo" w:hAnsi="Cairo"/>
          <w:b/>
          <w:color w:val="001533"/>
          <w:sz w:val="32"/>
        </w:rPr>
        <w:t>فهرس المحاور التشغيلية العشرة (Field Force Modules)</w:t>
      </w:r>
    </w:p>
    <w:tbl>
      <w:tblPr>
        <w:tblW w:type="auto" w:w="0"/>
        <w:jc w:val="center"/>
        <w:tblLook w:firstColumn="1" w:firstRow="1" w:lastColumn="0" w:lastRow="0" w:noHBand="0" w:noVBand="1" w:val="04A0"/>
        <w:bidiVisual/>
      </w:tblPr>
      <w:tblGrid>
        <w:gridCol w:w="4824"/>
        <w:gridCol w:w="4824"/>
      </w:tblGrid>
      <w:tr>
        <w:tc>
          <w:tcPr>
            <w:tcW w:type="dxa" w:w="4824"/>
            <w:shd w:fill="001533"/>
            <w:tcMar>
              <w:top w:w="100" w:type="dxa"/>
              <w:bottom w:w="100" w:type="dxa"/>
              <w:left w:w="150" w:type="dxa"/>
              <w:right w:w="150" w:type="dxa"/>
            </w:tcMar>
          </w:tcPr>
          <w:p>
            <w:pPr>
              <w:bidi w:val="1"/>
              <w:jc w:val="right"/>
            </w:pPr>
            <w:r>
              <w:rPr>
                <w:rFonts w:ascii="Cairo" w:hAnsi="Cairo"/>
                <w:b/>
                <w:color w:val="FFFFFF"/>
              </w:rPr>
              <w:t>المحور التشغيلي / الموديول</w:t>
            </w:r>
          </w:p>
        </w:tc>
        <w:tc>
          <w:tcPr>
            <w:tcW w:type="dxa" w:w="4824"/>
            <w:shd w:fill="001533"/>
            <w:tcMar>
              <w:top w:w="100" w:type="dxa"/>
              <w:bottom w:w="100" w:type="dxa"/>
              <w:left w:w="150" w:type="dxa"/>
              <w:right w:w="150" w:type="dxa"/>
            </w:tcMar>
          </w:tcPr>
          <w:p>
            <w:pPr>
              <w:bidi w:val="1"/>
              <w:jc w:val="right"/>
            </w:pPr>
            <w:r>
              <w:rPr>
                <w:rFonts w:ascii="Cairo" w:hAnsi="Cairo"/>
                <w:b/>
                <w:color w:val="FFFFFF"/>
              </w:rPr>
              <w:t>نطاق العمل الميداني واللوجستي</w:t>
            </w:r>
          </w:p>
        </w:tc>
      </w:tr>
      <w:tr>
        <w:tc>
          <w:tcPr>
            <w:tcW w:type="dxa" w:w="4824"/>
            <w:shd w:fill="FFFFFF"/>
            <w:tcMar>
              <w:top w:w="80" w:type="dxa"/>
              <w:bottom w:w="80" w:type="dxa"/>
              <w:left w:w="140" w:type="dxa"/>
              <w:right w:w="140" w:type="dxa"/>
            </w:tcMar>
          </w:tcPr>
          <w:p>
            <w:pPr>
              <w:bidi w:val="1"/>
              <w:jc w:val="right"/>
            </w:pPr>
            <w:r>
              <w:rPr>
                <w:rFonts w:ascii="Cairo" w:hAnsi="Cairo"/>
                <w:b/>
                <w:color w:val="0066FF"/>
              </w:rPr>
              <w:t>الموديول 1</w:t>
            </w:r>
          </w:p>
        </w:tc>
        <w:tc>
          <w:tcPr>
            <w:tcW w:type="dxa" w:w="4824"/>
            <w:shd w:fill="FFFFFF"/>
            <w:tcMar>
              <w:top w:w="80" w:type="dxa"/>
              <w:bottom w:w="80" w:type="dxa"/>
              <w:left w:w="140" w:type="dxa"/>
              <w:right w:w="140" w:type="dxa"/>
            </w:tcMar>
          </w:tcPr>
          <w:p>
            <w:pPr>
              <w:bidi w:val="1"/>
              <w:jc w:val="right"/>
            </w:pPr>
            <w:r>
              <w:rPr>
                <w:rFonts w:ascii="Cairo" w:hAnsi="Cairo"/>
                <w:color w:val="1E293B"/>
                <w:sz w:val="19"/>
              </w:rPr>
              <w:t>لوحة القيادة ومؤشرات أداء الـ 90 يوماً (Executive Dashboard &amp; 90-Day KPIs)</w:t>
            </w:r>
          </w:p>
        </w:tc>
      </w:tr>
      <w:tr>
        <w:tc>
          <w:tcPr>
            <w:tcW w:type="dxa" w:w="4824"/>
            <w:shd w:fill="F0F9FF"/>
            <w:tcMar>
              <w:top w:w="80" w:type="dxa"/>
              <w:bottom w:w="80" w:type="dxa"/>
              <w:left w:w="140" w:type="dxa"/>
              <w:right w:w="140" w:type="dxa"/>
            </w:tcMar>
          </w:tcPr>
          <w:p>
            <w:pPr>
              <w:bidi w:val="1"/>
              <w:jc w:val="right"/>
            </w:pPr>
            <w:r>
              <w:rPr>
                <w:rFonts w:ascii="Cairo" w:hAnsi="Cairo"/>
                <w:b/>
                <w:color w:val="0066FF"/>
              </w:rPr>
              <w:t>الموديول 2</w:t>
            </w:r>
          </w:p>
        </w:tc>
        <w:tc>
          <w:tcPr>
            <w:tcW w:type="dxa" w:w="4824"/>
            <w:shd w:fill="F0F9FF"/>
            <w:tcMar>
              <w:top w:w="80" w:type="dxa"/>
              <w:bottom w:w="80" w:type="dxa"/>
              <w:left w:w="140" w:type="dxa"/>
              <w:right w:w="140" w:type="dxa"/>
            </w:tcMar>
          </w:tcPr>
          <w:p>
            <w:pPr>
              <w:bidi w:val="1"/>
              <w:jc w:val="right"/>
            </w:pPr>
            <w:r>
              <w:rPr>
                <w:rFonts w:ascii="Cairo" w:hAnsi="Cairo"/>
                <w:color w:val="1E293B"/>
                <w:sz w:val="19"/>
              </w:rPr>
              <w:t>موجه المسارات الذكي وخوارزمية فك تداخل الطرق (Smart 2-Opt Routing Engine)</w:t>
            </w:r>
          </w:p>
        </w:tc>
      </w:tr>
      <w:tr>
        <w:tc>
          <w:tcPr>
            <w:tcW w:type="dxa" w:w="4824"/>
            <w:shd w:fill="FFFFFF"/>
            <w:tcMar>
              <w:top w:w="80" w:type="dxa"/>
              <w:bottom w:w="80" w:type="dxa"/>
              <w:left w:w="140" w:type="dxa"/>
              <w:right w:w="140" w:type="dxa"/>
            </w:tcMar>
          </w:tcPr>
          <w:p>
            <w:pPr>
              <w:bidi w:val="1"/>
              <w:jc w:val="right"/>
            </w:pPr>
            <w:r>
              <w:rPr>
                <w:rFonts w:ascii="Cairo" w:hAnsi="Cairo"/>
                <w:b/>
                <w:color w:val="0066FF"/>
              </w:rPr>
              <w:t>الموديول 3</w:t>
            </w:r>
          </w:p>
        </w:tc>
        <w:tc>
          <w:tcPr>
            <w:tcW w:type="dxa" w:w="4824"/>
            <w:shd w:fill="FFFFFF"/>
            <w:tcMar>
              <w:top w:w="80" w:type="dxa"/>
              <w:bottom w:w="80" w:type="dxa"/>
              <w:left w:w="140" w:type="dxa"/>
              <w:right w:w="140" w:type="dxa"/>
            </w:tcMar>
          </w:tcPr>
          <w:p>
            <w:pPr>
              <w:bidi w:val="1"/>
              <w:jc w:val="right"/>
            </w:pPr>
            <w:r>
              <w:rPr>
                <w:rFonts w:ascii="Cairo" w:hAnsi="Cairo"/>
                <w:color w:val="1E293B"/>
                <w:sz w:val="19"/>
              </w:rPr>
              <w:t>مسار الفرص الطبية وخوارزمية التقييم الديناميكي (Lead Pipeline &amp; Scoring 0-100)</w:t>
            </w:r>
          </w:p>
        </w:tc>
      </w:tr>
      <w:tr>
        <w:tc>
          <w:tcPr>
            <w:tcW w:type="dxa" w:w="4824"/>
            <w:shd w:fill="F0F9FF"/>
            <w:tcMar>
              <w:top w:w="80" w:type="dxa"/>
              <w:bottom w:w="80" w:type="dxa"/>
              <w:left w:w="140" w:type="dxa"/>
              <w:right w:w="140" w:type="dxa"/>
            </w:tcMar>
          </w:tcPr>
          <w:p>
            <w:pPr>
              <w:bidi w:val="1"/>
              <w:jc w:val="right"/>
            </w:pPr>
            <w:r>
              <w:rPr>
                <w:rFonts w:ascii="Cairo" w:hAnsi="Cairo"/>
                <w:b/>
                <w:color w:val="0066FF"/>
              </w:rPr>
              <w:t>الموديول 4</w:t>
            </w:r>
          </w:p>
        </w:tc>
        <w:tc>
          <w:tcPr>
            <w:tcW w:type="dxa" w:w="4824"/>
            <w:shd w:fill="F0F9FF"/>
            <w:tcMar>
              <w:top w:w="80" w:type="dxa"/>
              <w:bottom w:w="80" w:type="dxa"/>
              <w:left w:w="140" w:type="dxa"/>
              <w:right w:w="140" w:type="dxa"/>
            </w:tcMar>
          </w:tcPr>
          <w:p>
            <w:pPr>
              <w:bidi w:val="1"/>
              <w:jc w:val="right"/>
            </w:pPr>
            <w:r>
              <w:rPr>
                <w:rFonts w:ascii="Cairo" w:hAnsi="Cairo"/>
                <w:color w:val="1E293B"/>
                <w:sz w:val="19"/>
              </w:rPr>
              <w:t>توثيق الزيارات الميدانية ونطاق الـ 500 متر الجغرافي (Geofenced Visits &amp; Proof)</w:t>
            </w:r>
          </w:p>
        </w:tc>
      </w:tr>
      <w:tr>
        <w:tc>
          <w:tcPr>
            <w:tcW w:type="dxa" w:w="4824"/>
            <w:shd w:fill="FFFFFF"/>
            <w:tcMar>
              <w:top w:w="80" w:type="dxa"/>
              <w:bottom w:w="80" w:type="dxa"/>
              <w:left w:w="140" w:type="dxa"/>
              <w:right w:w="140" w:type="dxa"/>
            </w:tcMar>
          </w:tcPr>
          <w:p>
            <w:pPr>
              <w:bidi w:val="1"/>
              <w:jc w:val="right"/>
            </w:pPr>
            <w:r>
              <w:rPr>
                <w:rFonts w:ascii="Cairo" w:hAnsi="Cairo"/>
                <w:b/>
                <w:color w:val="0066FF"/>
              </w:rPr>
              <w:t>الموديول 5</w:t>
            </w:r>
          </w:p>
        </w:tc>
        <w:tc>
          <w:tcPr>
            <w:tcW w:type="dxa" w:w="4824"/>
            <w:shd w:fill="FFFFFF"/>
            <w:tcMar>
              <w:top w:w="80" w:type="dxa"/>
              <w:bottom w:w="80" w:type="dxa"/>
              <w:left w:w="140" w:type="dxa"/>
              <w:right w:w="140" w:type="dxa"/>
            </w:tcMar>
          </w:tcPr>
          <w:p>
            <w:pPr>
              <w:bidi w:val="1"/>
              <w:jc w:val="right"/>
            </w:pPr>
            <w:r>
              <w:rPr>
                <w:rFonts w:ascii="Cairo" w:hAnsi="Cairo"/>
                <w:color w:val="1E293B"/>
                <w:sz w:val="19"/>
              </w:rPr>
              <w:t>مركز المتابعة الرقمية والتواصل الفوري بالواتساب (User Outreach &amp; WhatsApp CRM)</w:t>
            </w:r>
          </w:p>
        </w:tc>
      </w:tr>
      <w:tr>
        <w:tc>
          <w:tcPr>
            <w:tcW w:type="dxa" w:w="4824"/>
            <w:shd w:fill="F0F9FF"/>
            <w:tcMar>
              <w:top w:w="80" w:type="dxa"/>
              <w:bottom w:w="80" w:type="dxa"/>
              <w:left w:w="140" w:type="dxa"/>
              <w:right w:w="140" w:type="dxa"/>
            </w:tcMar>
          </w:tcPr>
          <w:p>
            <w:pPr>
              <w:bidi w:val="1"/>
              <w:jc w:val="right"/>
            </w:pPr>
            <w:r>
              <w:rPr>
                <w:rFonts w:ascii="Cairo" w:hAnsi="Cairo"/>
                <w:b/>
                <w:color w:val="0066FF"/>
              </w:rPr>
              <w:t>الموديول 6</w:t>
            </w:r>
          </w:p>
        </w:tc>
        <w:tc>
          <w:tcPr>
            <w:tcW w:type="dxa" w:w="4824"/>
            <w:shd w:fill="F0F9FF"/>
            <w:tcMar>
              <w:top w:w="80" w:type="dxa"/>
              <w:bottom w:w="80" w:type="dxa"/>
              <w:left w:w="140" w:type="dxa"/>
              <w:right w:w="140" w:type="dxa"/>
            </w:tcMar>
          </w:tcPr>
          <w:p>
            <w:pPr>
              <w:bidi w:val="1"/>
              <w:jc w:val="right"/>
            </w:pPr>
            <w:r>
              <w:rPr>
                <w:rFonts w:ascii="Cairo" w:hAnsi="Cairo"/>
                <w:color w:val="1E293B"/>
                <w:sz w:val="19"/>
              </w:rPr>
              <w:t>تحويل المنشآت والتهيئة السحابية الفورية (1-Click Tenant Provisioning)</w:t>
            </w:r>
          </w:p>
        </w:tc>
      </w:tr>
      <w:tr>
        <w:tc>
          <w:tcPr>
            <w:tcW w:type="dxa" w:w="4824"/>
            <w:shd w:fill="FFFFFF"/>
            <w:tcMar>
              <w:top w:w="80" w:type="dxa"/>
              <w:bottom w:w="80" w:type="dxa"/>
              <w:left w:w="140" w:type="dxa"/>
              <w:right w:w="140" w:type="dxa"/>
            </w:tcMar>
          </w:tcPr>
          <w:p>
            <w:pPr>
              <w:bidi w:val="1"/>
              <w:jc w:val="right"/>
            </w:pPr>
            <w:r>
              <w:rPr>
                <w:rFonts w:ascii="Cairo" w:hAnsi="Cairo"/>
                <w:b/>
                <w:color w:val="0066FF"/>
              </w:rPr>
              <w:t>الموديول 7</w:t>
            </w:r>
          </w:p>
        </w:tc>
        <w:tc>
          <w:tcPr>
            <w:tcW w:type="dxa" w:w="4824"/>
            <w:shd w:fill="FFFFFF"/>
            <w:tcMar>
              <w:top w:w="80" w:type="dxa"/>
              <w:bottom w:w="80" w:type="dxa"/>
              <w:left w:w="140" w:type="dxa"/>
              <w:right w:w="140" w:type="dxa"/>
            </w:tcMar>
          </w:tcPr>
          <w:p>
            <w:pPr>
              <w:bidi w:val="1"/>
              <w:jc w:val="right"/>
            </w:pPr>
            <w:r>
              <w:rPr>
                <w:rFonts w:ascii="Cairo" w:hAnsi="Cairo"/>
                <w:color w:val="1E293B"/>
                <w:sz w:val="19"/>
              </w:rPr>
              <w:t>برنامج سفراء وموزعي الجامعات الطبية (Campus HealthTech Pioneers)</w:t>
            </w:r>
          </w:p>
        </w:tc>
      </w:tr>
      <w:tr>
        <w:tc>
          <w:tcPr>
            <w:tcW w:type="dxa" w:w="4824"/>
            <w:shd w:fill="F0F9FF"/>
            <w:tcMar>
              <w:top w:w="80" w:type="dxa"/>
              <w:bottom w:w="80" w:type="dxa"/>
              <w:left w:w="140" w:type="dxa"/>
              <w:right w:w="140" w:type="dxa"/>
            </w:tcMar>
          </w:tcPr>
          <w:p>
            <w:pPr>
              <w:bidi w:val="1"/>
              <w:jc w:val="right"/>
            </w:pPr>
            <w:r>
              <w:rPr>
                <w:rFonts w:ascii="Cairo" w:hAnsi="Cairo"/>
                <w:b/>
                <w:color w:val="0066FF"/>
              </w:rPr>
              <w:t>الموديول 8</w:t>
            </w:r>
          </w:p>
        </w:tc>
        <w:tc>
          <w:tcPr>
            <w:tcW w:type="dxa" w:w="4824"/>
            <w:shd w:fill="F0F9FF"/>
            <w:tcMar>
              <w:top w:w="80" w:type="dxa"/>
              <w:bottom w:w="80" w:type="dxa"/>
              <w:left w:w="140" w:type="dxa"/>
              <w:right w:w="140" w:type="dxa"/>
            </w:tcMar>
          </w:tcPr>
          <w:p>
            <w:pPr>
              <w:bidi w:val="1"/>
              <w:jc w:val="right"/>
            </w:pPr>
            <w:r>
              <w:rPr>
                <w:rFonts w:ascii="Cairo" w:hAnsi="Cairo"/>
                <w:color w:val="1E293B"/>
                <w:sz w:val="19"/>
              </w:rPr>
              <w:t>سوق توريد الأدوية بالجملة وتتبع أثر الوصفات (B2B Procurement &amp; Rx Output)</w:t>
            </w:r>
          </w:p>
        </w:tc>
      </w:tr>
      <w:tr>
        <w:tc>
          <w:tcPr>
            <w:tcW w:type="dxa" w:w="4824"/>
            <w:shd w:fill="FFFFFF"/>
            <w:tcMar>
              <w:top w:w="80" w:type="dxa"/>
              <w:bottom w:w="80" w:type="dxa"/>
              <w:left w:w="140" w:type="dxa"/>
              <w:right w:w="140" w:type="dxa"/>
            </w:tcMar>
          </w:tcPr>
          <w:p>
            <w:pPr>
              <w:bidi w:val="1"/>
              <w:jc w:val="right"/>
            </w:pPr>
            <w:r>
              <w:rPr>
                <w:rFonts w:ascii="Cairo" w:hAnsi="Cairo"/>
                <w:b/>
                <w:color w:val="0066FF"/>
              </w:rPr>
              <w:t>الموديول 9</w:t>
            </w:r>
          </w:p>
        </w:tc>
        <w:tc>
          <w:tcPr>
            <w:tcW w:type="dxa" w:w="4824"/>
            <w:shd w:fill="FFFFFF"/>
            <w:tcMar>
              <w:top w:w="80" w:type="dxa"/>
              <w:bottom w:w="80" w:type="dxa"/>
              <w:left w:w="140" w:type="dxa"/>
              <w:right w:w="140" w:type="dxa"/>
            </w:tcMar>
          </w:tcPr>
          <w:p>
            <w:pPr>
              <w:bidi w:val="1"/>
              <w:jc w:val="right"/>
            </w:pPr>
            <w:r>
              <w:rPr>
                <w:rFonts w:ascii="Cairo" w:hAnsi="Cairo"/>
                <w:color w:val="1E293B"/>
                <w:sz w:val="19"/>
              </w:rPr>
              <w:t>شجرة التوزيع اللانهائية والوكلاء الإقليميين (Endless Franchise Hierarchy &amp; Overrides)</w:t>
            </w:r>
          </w:p>
        </w:tc>
      </w:tr>
      <w:tr>
        <w:tc>
          <w:tcPr>
            <w:tcW w:type="dxa" w:w="4824"/>
            <w:shd w:fill="F0F9FF"/>
            <w:tcMar>
              <w:top w:w="80" w:type="dxa"/>
              <w:bottom w:w="80" w:type="dxa"/>
              <w:left w:w="140" w:type="dxa"/>
              <w:right w:w="140" w:type="dxa"/>
            </w:tcMar>
          </w:tcPr>
          <w:p>
            <w:pPr>
              <w:bidi w:val="1"/>
              <w:jc w:val="right"/>
            </w:pPr>
            <w:r>
              <w:rPr>
                <w:rFonts w:ascii="Cairo" w:hAnsi="Cairo"/>
                <w:b/>
                <w:color w:val="0066FF"/>
              </w:rPr>
              <w:t>الموديول 10</w:t>
            </w:r>
          </w:p>
        </w:tc>
        <w:tc>
          <w:tcPr>
            <w:tcW w:type="dxa" w:w="4824"/>
            <w:shd w:fill="F0F9FF"/>
            <w:tcMar>
              <w:top w:w="80" w:type="dxa"/>
              <w:bottom w:w="80" w:type="dxa"/>
              <w:left w:w="140" w:type="dxa"/>
              <w:right w:w="140" w:type="dxa"/>
            </w:tcMar>
          </w:tcPr>
          <w:p>
            <w:pPr>
              <w:bidi w:val="1"/>
              <w:jc w:val="right"/>
            </w:pPr>
            <w:r>
              <w:rPr>
                <w:rFonts w:ascii="Cairo" w:hAnsi="Cairo"/>
                <w:color w:val="1E293B"/>
                <w:sz w:val="19"/>
              </w:rPr>
              <w:t>الحسابات والعمولات وسحب الأرباح (FinOps, Ledger &amp; Payout Workflow)</w:t>
            </w:r>
          </w:p>
        </w:tc>
      </w:tr>
    </w:tbl>
    <w:p>
      <w:pPr>
        <w:spacing w:after="280"/>
      </w:pPr>
    </w:p>
    <w:tbl>
      <w:tblPr>
        <w:tblW w:type="auto" w:w="0"/>
        <w:jc w:val="center"/>
        <w:tblLook w:firstColumn="1" w:firstRow="1" w:lastColumn="0" w:lastRow="0" w:noHBand="0" w:noVBand="1" w:val="04A0"/>
        <w:bidiVisual/>
      </w:tblPr>
      <w:tblGrid>
        <w:gridCol w:w="9648"/>
      </w:tblGrid>
      <w:tr>
        <w:tc>
          <w:tcPr>
            <w:tcW w:type="dxa" w:w="9648"/>
            <w:shd w:fill="F0FDF4"/>
            <w:tcMar>
              <w:top w:w="160" w:type="dxa"/>
              <w:bottom w:w="160" w:type="dxa"/>
              <w:left w:w="240" w:type="dxa"/>
              <w:right w:w="240" w:type="dxa"/>
            </w:tcMar>
            <w:tcBorders>
              <w:top w:val="none"/>
              <w:left w:val="none"/>
              <w:bottom w:val="none"/>
              <w:right w:val="single" w:sz="36" w:space="0" w:color="16C60C"/>
            </w:tcBorders>
          </w:tcPr>
          <w:p>
            <w:pPr>
              <w:bidi w:val="1"/>
              <w:jc w:val="right"/>
            </w:pPr>
            <w:r>
              <w:rPr>
                <w:rFonts w:ascii="Cairo" w:hAnsi="Cairo"/>
                <w:b/>
                <w:color w:val="001533"/>
                <w:sz w:val="22"/>
              </w:rPr>
              <w:t>💎 رسالة الكفاءة الميدانية وفك الاختناق اللوجستي:</w:t>
              <w:br/>
            </w:r>
            <w:r>
              <w:rPr>
                <w:rFonts w:ascii="Cairo" w:hAnsi="Cairo"/>
                <w:color w:val="1E293B"/>
                <w:sz w:val="19"/>
              </w:rPr>
              <w:t>صُممت منظومة مندوبي CRM لتكون حلقة الوصل الذكية بين حركة المناديب الميدانية بالـ GPS ومبيعات سوق الجملة B2B وتتبع الوصفات الحية للأطباء؛ لضمان أعلى عائد استثماري على كل دقيقة وكل كيلومتر يقطعه الفريق.</w:t>
            </w:r>
          </w:p>
        </w:tc>
      </w:tr>
    </w:tbl>
    <w:p>
      <w:pPr>
        <w:spacing w:before="80" w:after="120"/>
      </w:pPr>
    </w:p>
    <w:p>
      <w:r>
        <w:br w:type="page"/>
      </w:r>
    </w:p>
    <w:p>
      <w:pPr>
        <w:bidi w:val="1"/>
        <w:spacing w:before="320" w:after="80"/>
        <w:jc w:val="right"/>
      </w:pPr>
      <w:r>
        <w:rPr>
          <w:rFonts w:ascii="Cairo" w:hAnsi="Cairo"/>
          <w:b/>
          <w:color w:val="0066FF"/>
          <w:sz w:val="27"/>
        </w:rPr>
        <w:t xml:space="preserve">الموديول 1: </w:t>
      </w:r>
      <w:r>
        <w:rPr>
          <w:rFonts w:ascii="Cairo" w:hAnsi="Cairo"/>
          <w:b/>
          <w:color w:val="001533"/>
          <w:sz w:val="27"/>
        </w:rPr>
        <w:t>لوحة القيادة ومؤشرات أداء الـ 90 يوماً (Executive Dashboard &amp; 90-Day KPIs)</w:t>
      </w:r>
    </w:p>
    <w:p>
      <w:pPr>
        <w:bidi w:val="1"/>
        <w:spacing w:after="160"/>
        <w:jc w:val="right"/>
      </w:pPr>
      <w:r>
        <w:rPr>
          <w:rFonts w:ascii="Cairo" w:hAnsi="Cairo"/>
          <w:color w:val="1E293B"/>
          <w:sz w:val="20"/>
        </w:rPr>
        <w:t>منصة قيادية استراتيجية لمتابعة حركة المناديب والموزعين، رصد مؤشرات التحويل السريري Won، وتتبع العائد المالي والاستثماري بناءً على الوصفات الطبية الحية (Rx Velocity).</w:t>
      </w:r>
    </w:p>
    <w:p>
      <w:pPr>
        <w:bidi w:val="1"/>
        <w:spacing w:before="40" w:after="60"/>
        <w:ind w:right="288"/>
        <w:jc w:val="right"/>
      </w:pPr>
      <w:r>
        <w:rPr>
          <w:rFonts w:ascii="Cairo" w:hAnsi="Cairo"/>
          <w:b/>
          <w:color w:val="0E8A07"/>
          <w:sz w:val="19"/>
        </w:rPr>
        <w:t xml:space="preserve">✔  </w:t>
      </w:r>
      <w:r>
        <w:rPr>
          <w:rFonts w:ascii="Cairo" w:hAnsi="Cairo"/>
          <w:color w:val="1E293B"/>
          <w:sz w:val="19"/>
        </w:rPr>
        <w:t>خطة الشهور الثلاثة المتدرجة (90-Day Roadmap): الشهر الأول للاستكشاف والمسح الميداني (60 عميلاً)، الشهر الثاني للتحويل والعروض التجريبية (90 زيارة)، والشهر الثالث للوصول للطاقة القصوى وإغلاق التعاقدات.</w:t>
      </w:r>
    </w:p>
    <w:p>
      <w:pPr>
        <w:bidi w:val="1"/>
        <w:spacing w:before="40" w:after="60"/>
        <w:ind w:right="288"/>
        <w:jc w:val="right"/>
      </w:pPr>
      <w:r>
        <w:rPr>
          <w:rFonts w:ascii="Cairo" w:hAnsi="Cairo"/>
          <w:b/>
          <w:color w:val="0E8A07"/>
          <w:sz w:val="19"/>
        </w:rPr>
        <w:t xml:space="preserve">✔  </w:t>
      </w:r>
      <w:r>
        <w:rPr>
          <w:rFonts w:ascii="Cairo" w:hAnsi="Cairo"/>
          <w:color w:val="1E293B"/>
          <w:sz w:val="19"/>
        </w:rPr>
        <w:t>مؤشرات الإنجاز المباشرة: متابعة معدل المطابقة بالـ GPS، متوسط وقت المقابلة، وحجم التحويلات السحابية المغلقة.</w:t>
      </w:r>
    </w:p>
    <w:p>
      <w:pPr>
        <w:bidi w:val="1"/>
        <w:spacing w:before="40" w:after="60"/>
        <w:ind w:right="288"/>
        <w:jc w:val="right"/>
      </w:pPr>
      <w:r>
        <w:rPr>
          <w:rFonts w:ascii="Cairo" w:hAnsi="Cairo"/>
          <w:b/>
          <w:color w:val="0E8A07"/>
          <w:sz w:val="19"/>
        </w:rPr>
        <w:t xml:space="preserve">✔  </w:t>
      </w:r>
      <w:r>
        <w:rPr>
          <w:rFonts w:ascii="Cairo" w:hAnsi="Cairo"/>
          <w:color w:val="1E293B"/>
          <w:sz w:val="19"/>
        </w:rPr>
        <w:t>لوحة شرف المندوبين المتصدرين: ترتيب الفرق والمشرفين وفق مصفوفة النقاط الإنتاجية وتكريم الأفضل شهرياً.</w:t>
      </w:r>
    </w:p>
    <w:p>
      <w:pPr>
        <w:bidi w:val="1"/>
        <w:spacing w:before="40" w:after="60"/>
        <w:ind w:right="288"/>
        <w:jc w:val="right"/>
      </w:pPr>
      <w:r>
        <w:rPr>
          <w:rFonts w:ascii="Cairo" w:hAnsi="Cairo"/>
          <w:b/>
          <w:color w:val="0E8A07"/>
          <w:sz w:val="19"/>
        </w:rPr>
        <w:t xml:space="preserve">✔  </w:t>
      </w:r>
      <w:r>
        <w:rPr>
          <w:rFonts w:ascii="Cairo" w:hAnsi="Cairo"/>
          <w:color w:val="1E293B"/>
          <w:sz w:val="19"/>
        </w:rPr>
        <w:t>الرصد اللحظي للوصفات الطبية (Live Rx Telemetry): تتبع عدد الوصفات الناتجة عن الأطباء الذين زارهم الفريق عبر /marketing/dashboard/.</w:t>
      </w:r>
    </w:p>
    <w:p>
      <w:pPr>
        <w:bidi w:val="1"/>
        <w:spacing w:before="120" w:after="240"/>
        <w:jc w:val="right"/>
      </w:pPr>
      <w:r>
        <w:rPr>
          <w:rFonts w:ascii="Cairo" w:hAnsi="Cairo"/>
          <w:b/>
          <w:color w:val="001533"/>
          <w:sz w:val="18"/>
        </w:rPr>
        <w:t xml:space="preserve">🔗 الرابط التشغيلي المباشر: </w:t>
      </w:r>
      <w:r>
        <w:rPr>
          <w:rFonts w:ascii="Outfit" w:hAnsi="Outfit"/>
          <w:color w:val="0066FF"/>
          <w:sz w:val="18"/>
          <w:u w:val="single"/>
        </w:rPr>
        <w:t>https://yemenhealthos.com/ar/marketing/dashboard/</w:t>
      </w:r>
    </w:p>
    <w:p>
      <w:pPr>
        <w:bidi w:val="1"/>
        <w:spacing w:before="320" w:after="80"/>
        <w:jc w:val="right"/>
      </w:pPr>
      <w:r>
        <w:rPr>
          <w:rFonts w:ascii="Cairo" w:hAnsi="Cairo"/>
          <w:b/>
          <w:color w:val="0066FF"/>
          <w:sz w:val="27"/>
        </w:rPr>
        <w:t xml:space="preserve">الموديول 2: </w:t>
      </w:r>
      <w:r>
        <w:rPr>
          <w:rFonts w:ascii="Cairo" w:hAnsi="Cairo"/>
          <w:b/>
          <w:color w:val="001533"/>
          <w:sz w:val="27"/>
        </w:rPr>
        <w:t>موجه المسارات الذكي وخوارزمية فك تداخل الطرق (Smart 2-Opt Routing Engine)</w:t>
      </w:r>
    </w:p>
    <w:p>
      <w:pPr>
        <w:bidi w:val="1"/>
        <w:spacing w:after="160"/>
        <w:jc w:val="right"/>
      </w:pPr>
      <w:r>
        <w:rPr>
          <w:rFonts w:ascii="Cairo" w:hAnsi="Cairo"/>
          <w:color w:val="1E293B"/>
          <w:sz w:val="20"/>
        </w:rPr>
        <w:t>خوارزمية ذكية لحل مسألة البائع المتجول (TSP) واختيار المسار الأمثل للزيارات اليومية، مما يوفر أكثر من 35% من استهلاك الوقود وزمن التنقل بين المنشآت الطبية.</w:t>
      </w:r>
    </w:p>
    <w:p>
      <w:pPr>
        <w:bidi w:val="1"/>
        <w:spacing w:before="40" w:after="60"/>
        <w:ind w:right="288"/>
        <w:jc w:val="right"/>
      </w:pPr>
      <w:r>
        <w:rPr>
          <w:rFonts w:ascii="Cairo" w:hAnsi="Cairo"/>
          <w:b/>
          <w:color w:val="0E8A07"/>
          <w:sz w:val="19"/>
        </w:rPr>
        <w:t xml:space="preserve">✔  </w:t>
      </w:r>
      <w:r>
        <w:rPr>
          <w:rFonts w:ascii="Cairo" w:hAnsi="Cairo"/>
          <w:color w:val="1E293B"/>
          <w:sz w:val="19"/>
        </w:rPr>
        <w:t>خوارزمية التبديل الثنائي (2-Opt Swap Algorithm): فك التقاطعات وإعادة ترتيب العيادات والصيدليات والمستشفيات جغرافياً في خط سير دائري انسيابي.</w:t>
      </w:r>
    </w:p>
    <w:p>
      <w:pPr>
        <w:bidi w:val="1"/>
        <w:spacing w:before="40" w:after="60"/>
        <w:ind w:right="288"/>
        <w:jc w:val="right"/>
      </w:pPr>
      <w:r>
        <w:rPr>
          <w:rFonts w:ascii="Cairo" w:hAnsi="Cairo"/>
          <w:b/>
          <w:color w:val="0E8A07"/>
          <w:sz w:val="19"/>
        </w:rPr>
        <w:t xml:space="preserve">✔  </w:t>
      </w:r>
      <w:r>
        <w:rPr>
          <w:rFonts w:ascii="Cairo" w:hAnsi="Cairo"/>
          <w:color w:val="1E293B"/>
          <w:sz w:val="19"/>
        </w:rPr>
        <w:t>الانطلاق من موقع المندوب الحي (Live GPS Anchor): التقاط إحداثيات موقع المندوب لتكون نقطة البداية للمسار اليومي المجدول.</w:t>
      </w:r>
    </w:p>
    <w:p>
      <w:pPr>
        <w:bidi w:val="1"/>
        <w:spacing w:before="40" w:after="60"/>
        <w:ind w:right="288"/>
        <w:jc w:val="right"/>
      </w:pPr>
      <w:r>
        <w:rPr>
          <w:rFonts w:ascii="Cairo" w:hAnsi="Cairo"/>
          <w:b/>
          <w:color w:val="0E8A07"/>
          <w:sz w:val="19"/>
        </w:rPr>
        <w:t xml:space="preserve">✔  </w:t>
      </w:r>
      <w:r>
        <w:rPr>
          <w:rFonts w:ascii="Cairo" w:hAnsi="Cairo"/>
          <w:color w:val="1E293B"/>
          <w:sz w:val="19"/>
        </w:rPr>
        <w:t>البث المباشر لخرائط جوجل (Launch Google Navigation): توليد مسار ملاحة متعدد المحطات (Multi-Stop Route) يفتح بنقرة واحدة على هاتف المندوب.</w:t>
      </w:r>
    </w:p>
    <w:p>
      <w:pPr>
        <w:bidi w:val="1"/>
        <w:spacing w:before="40" w:after="60"/>
        <w:ind w:right="288"/>
        <w:jc w:val="right"/>
      </w:pPr>
      <w:r>
        <w:rPr>
          <w:rFonts w:ascii="Cairo" w:hAnsi="Cairo"/>
          <w:b/>
          <w:color w:val="0E8A07"/>
          <w:sz w:val="19"/>
        </w:rPr>
        <w:t xml:space="preserve">✔  </w:t>
      </w:r>
      <w:r>
        <w:rPr>
          <w:rFonts w:ascii="Cairo" w:hAnsi="Cairo"/>
          <w:color w:val="1E293B"/>
          <w:sz w:val="19"/>
        </w:rPr>
        <w:t>تحديد سقف المحطات (Max 10 Stops/Day): تنبيه المندوب والمشرف عند تجاوز 10 محطات يومياً لضمان تركيز الحوار العلمي والسريري.</w:t>
      </w:r>
    </w:p>
    <w:p>
      <w:pPr>
        <w:bidi w:val="1"/>
        <w:spacing w:before="120" w:after="240"/>
        <w:jc w:val="right"/>
      </w:pPr>
      <w:r>
        <w:rPr>
          <w:rFonts w:ascii="Cairo" w:hAnsi="Cairo"/>
          <w:b/>
          <w:color w:val="001533"/>
          <w:sz w:val="18"/>
        </w:rPr>
        <w:t xml:space="preserve">🔗 الرابط التشغيلي المباشر: </w:t>
      </w:r>
      <w:r>
        <w:rPr>
          <w:rFonts w:ascii="Outfit" w:hAnsi="Outfit"/>
          <w:color w:val="0066FF"/>
          <w:sz w:val="18"/>
          <w:u w:val="single"/>
        </w:rPr>
        <w:t>https://yemenhealthos.com/ar/marketing/leads/routing/</w:t>
      </w:r>
    </w:p>
    <w:p>
      <w:pPr>
        <w:bidi w:val="1"/>
        <w:spacing w:before="320" w:after="80"/>
        <w:jc w:val="right"/>
      </w:pPr>
      <w:r>
        <w:rPr>
          <w:rFonts w:ascii="Cairo" w:hAnsi="Cairo"/>
          <w:b/>
          <w:color w:val="0066FF"/>
          <w:sz w:val="27"/>
        </w:rPr>
        <w:t xml:space="preserve">الموديول 3: </w:t>
      </w:r>
      <w:r>
        <w:rPr>
          <w:rFonts w:ascii="Cairo" w:hAnsi="Cairo"/>
          <w:b/>
          <w:color w:val="001533"/>
          <w:sz w:val="27"/>
        </w:rPr>
        <w:t>مسار الفرص الطبية وخوارزمية التقييم الديناميكي (Lead Pipeline &amp; Scoring 0-100)</w:t>
      </w:r>
    </w:p>
    <w:p>
      <w:pPr>
        <w:bidi w:val="1"/>
        <w:spacing w:after="160"/>
        <w:jc w:val="right"/>
      </w:pPr>
      <w:r>
        <w:rPr>
          <w:rFonts w:ascii="Cairo" w:hAnsi="Cairo"/>
          <w:color w:val="1E293B"/>
          <w:sz w:val="20"/>
        </w:rPr>
        <w:t>إدارة الفرص والمراكز الطبية عبر لوحة كانبان التفاعلية، مع خوارزمية ذكية تمنح كل منشأة نقاطاً من 0 إلى 100 لتحديد أولوية المتابعة والزيارة.</w:t>
      </w:r>
    </w:p>
    <w:p>
      <w:pPr>
        <w:bidi w:val="1"/>
        <w:spacing w:before="40" w:after="60"/>
        <w:ind w:right="288"/>
        <w:jc w:val="right"/>
      </w:pPr>
      <w:r>
        <w:rPr>
          <w:rFonts w:ascii="Cairo" w:hAnsi="Cairo"/>
          <w:b/>
          <w:color w:val="0E8A07"/>
          <w:sz w:val="19"/>
        </w:rPr>
        <w:t xml:space="preserve">✔  </w:t>
      </w:r>
      <w:r>
        <w:rPr>
          <w:rFonts w:ascii="Cairo" w:hAnsi="Cairo"/>
          <w:color w:val="1E293B"/>
          <w:sz w:val="19"/>
        </w:rPr>
        <w:t>خوارزمية التقييم الذكي (Dynamic Lead Score): وزن فئة العميل (Class A: 40 نقطة، Class B: 25 نقطة)، مضافاً إليها نقاط التفاعل وتسليم العينات والمطبوعات.</w:t>
      </w:r>
    </w:p>
    <w:p>
      <w:pPr>
        <w:bidi w:val="1"/>
        <w:spacing w:before="40" w:after="60"/>
        <w:ind w:right="288"/>
        <w:jc w:val="right"/>
      </w:pPr>
      <w:r>
        <w:rPr>
          <w:rFonts w:ascii="Cairo" w:hAnsi="Cairo"/>
          <w:b/>
          <w:color w:val="0E8A07"/>
          <w:sz w:val="19"/>
        </w:rPr>
        <w:t xml:space="preserve">✔  </w:t>
      </w:r>
      <w:r>
        <w:rPr>
          <w:rFonts w:ascii="Cairo" w:hAnsi="Cairo"/>
          <w:color w:val="1E293B"/>
          <w:sz w:val="19"/>
        </w:rPr>
        <w:t>عقوبة التأخير التلقائية (-12 Points Overdue): خصم نقاط العميل آلياً في حال تأخر المندوب عن موعد المتابعة السريرية المجدول.</w:t>
      </w:r>
    </w:p>
    <w:p>
      <w:pPr>
        <w:bidi w:val="1"/>
        <w:spacing w:before="40" w:after="60"/>
        <w:ind w:right="288"/>
        <w:jc w:val="right"/>
      </w:pPr>
      <w:r>
        <w:rPr>
          <w:rFonts w:ascii="Cairo" w:hAnsi="Cairo"/>
          <w:b/>
          <w:color w:val="0E8A07"/>
          <w:sz w:val="19"/>
        </w:rPr>
        <w:t xml:space="preserve">✔  </w:t>
      </w:r>
      <w:r>
        <w:rPr>
          <w:rFonts w:ascii="Cairo" w:hAnsi="Cairo"/>
          <w:color w:val="1E293B"/>
          <w:sz w:val="19"/>
        </w:rPr>
        <w:t>لوحة كانبان بالسحب والإفلات (Drag &amp; Drop Pipeline): نقل بطاقات المنشآت بين المراحل (جديد، تم التواصل، تجريبي، تفاوض، تم التعاقد Won).</w:t>
      </w:r>
    </w:p>
    <w:p>
      <w:pPr>
        <w:bidi w:val="1"/>
        <w:spacing w:before="40" w:after="60"/>
        <w:ind w:right="288"/>
        <w:jc w:val="right"/>
      </w:pPr>
      <w:r>
        <w:rPr>
          <w:rFonts w:ascii="Cairo" w:hAnsi="Cairo"/>
          <w:b/>
          <w:color w:val="0E8A07"/>
          <w:sz w:val="19"/>
        </w:rPr>
        <w:t xml:space="preserve">✔  </w:t>
      </w:r>
      <w:r>
        <w:rPr>
          <w:rFonts w:ascii="Cairo" w:hAnsi="Cairo"/>
          <w:color w:val="1E293B"/>
          <w:sz w:val="19"/>
        </w:rPr>
        <w:t>مصفوفة الحصص الشهرية (Target Quota Matrix): رصد الأهداف المستهدفة من يناير إلى ديسمبر ومقارنتها التلقائية بمعدل الوصفات الفعلي.</w:t>
      </w:r>
    </w:p>
    <w:p>
      <w:pPr>
        <w:bidi w:val="1"/>
        <w:spacing w:before="120" w:after="240"/>
        <w:jc w:val="right"/>
      </w:pPr>
      <w:r>
        <w:rPr>
          <w:rFonts w:ascii="Cairo" w:hAnsi="Cairo"/>
          <w:b/>
          <w:color w:val="001533"/>
          <w:sz w:val="18"/>
        </w:rPr>
        <w:t xml:space="preserve">🔗 الرابط التشغيلي المباشر: </w:t>
      </w:r>
      <w:r>
        <w:rPr>
          <w:rFonts w:ascii="Outfit" w:hAnsi="Outfit"/>
          <w:color w:val="0066FF"/>
          <w:sz w:val="18"/>
          <w:u w:val="single"/>
        </w:rPr>
        <w:t>https://yemenhealthos.com/ar/marketing/leads/</w:t>
      </w:r>
    </w:p>
    <w:p>
      <w:pPr>
        <w:bidi w:val="1"/>
        <w:spacing w:before="320" w:after="80"/>
        <w:jc w:val="right"/>
      </w:pPr>
      <w:r>
        <w:rPr>
          <w:rFonts w:ascii="Cairo" w:hAnsi="Cairo"/>
          <w:b/>
          <w:color w:val="0066FF"/>
          <w:sz w:val="27"/>
        </w:rPr>
        <w:t xml:space="preserve">الموديول 4: </w:t>
      </w:r>
      <w:r>
        <w:rPr>
          <w:rFonts w:ascii="Cairo" w:hAnsi="Cairo"/>
          <w:b/>
          <w:color w:val="001533"/>
          <w:sz w:val="27"/>
        </w:rPr>
        <w:t>توثيق الزيارات الميدانية ونطاق الـ 500 متر الجغرافي (Geofenced Visits &amp; Proof)</w:t>
      </w:r>
    </w:p>
    <w:p>
      <w:pPr>
        <w:bidi w:val="1"/>
        <w:spacing w:after="160"/>
        <w:jc w:val="right"/>
      </w:pPr>
      <w:r>
        <w:rPr>
          <w:rFonts w:ascii="Cairo" w:hAnsi="Cairo"/>
          <w:color w:val="1E293B"/>
          <w:sz w:val="20"/>
        </w:rPr>
        <w:t>نظام تدقيق صارم يمنع التلاعب الميداني بالتحقق من وجود المندوب الفعلي داخل دائرة قطرها 500 متر حول العيادة باستخدام صيغة Haversine الرياضية.</w:t>
      </w:r>
    </w:p>
    <w:p>
      <w:pPr>
        <w:bidi w:val="1"/>
        <w:spacing w:before="40" w:after="60"/>
        <w:ind w:right="288"/>
        <w:jc w:val="right"/>
      </w:pPr>
      <w:r>
        <w:rPr>
          <w:rFonts w:ascii="Cairo" w:hAnsi="Cairo"/>
          <w:b/>
          <w:color w:val="0E8A07"/>
          <w:sz w:val="19"/>
        </w:rPr>
        <w:t xml:space="preserve">✔  </w:t>
      </w:r>
      <w:r>
        <w:rPr>
          <w:rFonts w:ascii="Cairo" w:hAnsi="Cairo"/>
          <w:color w:val="1E293B"/>
          <w:sz w:val="19"/>
        </w:rPr>
        <w:t>الختم الجغرافي الموثق (GPS Verified Check-in): اعتماد الزيارة وتثبيت إحداثياتها وأثرها فقط إذا طابقت النطاق الجغرافي المعتمد للمنشأة.</w:t>
      </w:r>
    </w:p>
    <w:p>
      <w:pPr>
        <w:bidi w:val="1"/>
        <w:spacing w:before="40" w:after="60"/>
        <w:ind w:right="288"/>
        <w:jc w:val="right"/>
      </w:pPr>
      <w:r>
        <w:rPr>
          <w:rFonts w:ascii="Cairo" w:hAnsi="Cairo"/>
          <w:b/>
          <w:color w:val="0E8A07"/>
          <w:sz w:val="19"/>
        </w:rPr>
        <w:t xml:space="preserve">✔  </w:t>
      </w:r>
      <w:r>
        <w:rPr>
          <w:rFonts w:ascii="Cairo" w:hAnsi="Cairo"/>
          <w:color w:val="1E293B"/>
          <w:sz w:val="19"/>
        </w:rPr>
        <w:t>التوقيع الإلكتروني للطبيب (Doctor E-Signature): توقيع الطبيب أو الصيدلي على شاشة الهاتف لإثبات استلام المواد العلمية والعينات.</w:t>
      </w:r>
    </w:p>
    <w:p>
      <w:pPr>
        <w:bidi w:val="1"/>
        <w:spacing w:before="40" w:after="60"/>
        <w:ind w:right="288"/>
        <w:jc w:val="right"/>
      </w:pPr>
      <w:r>
        <w:rPr>
          <w:rFonts w:ascii="Cairo" w:hAnsi="Cairo"/>
          <w:b/>
          <w:color w:val="0E8A07"/>
          <w:sz w:val="19"/>
        </w:rPr>
        <w:t xml:space="preserve">✔  </w:t>
      </w:r>
      <w:r>
        <w:rPr>
          <w:rFonts w:ascii="Cairo" w:hAnsi="Cairo"/>
          <w:color w:val="1E293B"/>
          <w:sz w:val="19"/>
        </w:rPr>
        <w:t>الخصم التلقائي لعهدة سيارة المندوب (Car Boot Stock): خصم البروشورات والعينات المجانية فورياً من مخزن عهدة المندوب المتنقل.</w:t>
      </w:r>
    </w:p>
    <w:p>
      <w:pPr>
        <w:bidi w:val="1"/>
        <w:spacing w:before="40" w:after="60"/>
        <w:ind w:right="288"/>
        <w:jc w:val="right"/>
      </w:pPr>
      <w:r>
        <w:rPr>
          <w:rFonts w:ascii="Cairo" w:hAnsi="Cairo"/>
          <w:b/>
          <w:color w:val="0E8A07"/>
          <w:sz w:val="19"/>
        </w:rPr>
        <w:t xml:space="preserve">✔  </w:t>
      </w:r>
      <w:r>
        <w:rPr>
          <w:rFonts w:ascii="Cairo" w:hAnsi="Cairo"/>
          <w:color w:val="1E293B"/>
          <w:sz w:val="19"/>
        </w:rPr>
        <w:t>شريط التوجيه المباشر بين المشرف والمندوب (Coaching Chat): تبادل الملاحظات وحل الاعتراضات الميدانية المسجلة في نفس الزيارة.</w:t>
      </w:r>
    </w:p>
    <w:p>
      <w:pPr>
        <w:bidi w:val="1"/>
        <w:spacing w:before="120" w:after="240"/>
        <w:jc w:val="right"/>
      </w:pPr>
      <w:r>
        <w:rPr>
          <w:rFonts w:ascii="Cairo" w:hAnsi="Cairo"/>
          <w:b/>
          <w:color w:val="001533"/>
          <w:sz w:val="18"/>
        </w:rPr>
        <w:t xml:space="preserve">🔗 الرابط التشغيلي المباشر: </w:t>
      </w:r>
      <w:r>
        <w:rPr>
          <w:rFonts w:ascii="Outfit" w:hAnsi="Outfit"/>
          <w:color w:val="0066FF"/>
          <w:sz w:val="18"/>
          <w:u w:val="single"/>
        </w:rPr>
        <w:t>https://yemenhealthos.com/ar/marketing/visits/</w:t>
      </w:r>
    </w:p>
    <w:p>
      <w:pPr>
        <w:bidi w:val="1"/>
        <w:spacing w:before="320" w:after="80"/>
        <w:jc w:val="right"/>
      </w:pPr>
      <w:r>
        <w:rPr>
          <w:rFonts w:ascii="Cairo" w:hAnsi="Cairo"/>
          <w:b/>
          <w:color w:val="0066FF"/>
          <w:sz w:val="27"/>
        </w:rPr>
        <w:t xml:space="preserve">الموديول 5: </w:t>
      </w:r>
      <w:r>
        <w:rPr>
          <w:rFonts w:ascii="Cairo" w:hAnsi="Cairo"/>
          <w:b/>
          <w:color w:val="001533"/>
          <w:sz w:val="27"/>
        </w:rPr>
        <w:t>مركز المتابعة الرقمية والتواصل الفوري بالواتساب (User Outreach &amp; WhatsApp CRM)</w:t>
      </w:r>
    </w:p>
    <w:p>
      <w:pPr>
        <w:bidi w:val="1"/>
        <w:spacing w:after="160"/>
        <w:jc w:val="right"/>
      </w:pPr>
      <w:r>
        <w:rPr>
          <w:rFonts w:ascii="Cairo" w:hAnsi="Cairo"/>
          <w:color w:val="1E293B"/>
          <w:sz w:val="20"/>
        </w:rPr>
        <w:t>محرك تواصل مؤتمت وموجه يتيح للمشرف والمندوب التواصل الفوري مع المسجلين الجدد بقوالب واتساب ديناميكية مخصصة لكل تخصص ودور.</w:t>
      </w:r>
    </w:p>
    <w:p>
      <w:pPr>
        <w:bidi w:val="1"/>
        <w:spacing w:before="40" w:after="60"/>
        <w:ind w:right="288"/>
        <w:jc w:val="right"/>
      </w:pPr>
      <w:r>
        <w:rPr>
          <w:rFonts w:ascii="Cairo" w:hAnsi="Cairo"/>
          <w:b/>
          <w:color w:val="0E8A07"/>
          <w:sz w:val="19"/>
        </w:rPr>
        <w:t xml:space="preserve">✔  </w:t>
      </w:r>
      <w:r>
        <w:rPr>
          <w:rFonts w:ascii="Cairo" w:hAnsi="Cairo"/>
          <w:color w:val="1E293B"/>
          <w:sz w:val="19"/>
        </w:rPr>
        <w:t>قوالب واتساب ذكية مخصصة بحسب الدور: رسائل خاصة بالأطباء لعرض ميزات الـ EMR، وللمستشفيات لشرح أقسام التنويم، وللصيدليات لنقاط البيع POS.</w:t>
      </w:r>
    </w:p>
    <w:p>
      <w:pPr>
        <w:bidi w:val="1"/>
        <w:spacing w:before="40" w:after="60"/>
        <w:ind w:right="288"/>
        <w:jc w:val="right"/>
      </w:pPr>
      <w:r>
        <w:rPr>
          <w:rFonts w:ascii="Cairo" w:hAnsi="Cairo"/>
          <w:b/>
          <w:color w:val="0E8A07"/>
          <w:sz w:val="19"/>
        </w:rPr>
        <w:t xml:space="preserve">✔  </w:t>
      </w:r>
      <w:r>
        <w:rPr>
          <w:rFonts w:ascii="Cairo" w:hAnsi="Cairo"/>
          <w:color w:val="1E293B"/>
          <w:sz w:val="19"/>
        </w:rPr>
        <w:t>التأهيل السريع للمستخدمين الجدد: حصر كافة الكوادر الطبية المسجلة حديثاً في المنصة وإدراجهم في مسارات المتابعة عبر /marketing/users/follow-up/.</w:t>
      </w:r>
    </w:p>
    <w:p>
      <w:pPr>
        <w:bidi w:val="1"/>
        <w:spacing w:before="40" w:after="60"/>
        <w:ind w:right="288"/>
        <w:jc w:val="right"/>
      </w:pPr>
      <w:r>
        <w:rPr>
          <w:rFonts w:ascii="Cairo" w:hAnsi="Cairo"/>
          <w:b/>
          <w:color w:val="0E8A07"/>
          <w:sz w:val="19"/>
        </w:rPr>
        <w:t xml:space="preserve">✔  </w:t>
      </w:r>
      <w:r>
        <w:rPr>
          <w:rFonts w:ascii="Cairo" w:hAnsi="Cairo"/>
          <w:color w:val="1E293B"/>
          <w:sz w:val="19"/>
        </w:rPr>
        <w:t>التوثيق المزدوج لنتائج الاتصال: تسجيل حالة التواصل (مهتم، تم تحديد موعد، غير مهتم، تم التفعيل) في السجل الأمني المعتمد GovActionLog.</w:t>
      </w:r>
    </w:p>
    <w:p>
      <w:pPr>
        <w:bidi w:val="1"/>
        <w:spacing w:before="40" w:after="60"/>
        <w:ind w:right="288"/>
        <w:jc w:val="right"/>
      </w:pPr>
      <w:r>
        <w:rPr>
          <w:rFonts w:ascii="Cairo" w:hAnsi="Cairo"/>
          <w:b/>
          <w:color w:val="0E8A07"/>
          <w:sz w:val="19"/>
        </w:rPr>
        <w:t xml:space="preserve">✔  </w:t>
      </w:r>
      <w:r>
        <w:rPr>
          <w:rFonts w:ascii="Cairo" w:hAnsi="Cairo"/>
          <w:color w:val="1E293B"/>
          <w:sz w:val="19"/>
        </w:rPr>
        <w:t>التحويل المجمع للأهداف التسويقية (Bulk Lead Convert): تحويل عشرات المستخدمين المسجلين بنقرة واحدة إلى أهداف ميدانية للمناديب.</w:t>
      </w:r>
    </w:p>
    <w:p>
      <w:pPr>
        <w:bidi w:val="1"/>
        <w:spacing w:before="120" w:after="240"/>
        <w:jc w:val="right"/>
      </w:pPr>
      <w:r>
        <w:rPr>
          <w:rFonts w:ascii="Cairo" w:hAnsi="Cairo"/>
          <w:b/>
          <w:color w:val="001533"/>
          <w:sz w:val="18"/>
        </w:rPr>
        <w:t xml:space="preserve">🔗 الرابط التشغيلي المباشر: </w:t>
      </w:r>
      <w:r>
        <w:rPr>
          <w:rFonts w:ascii="Outfit" w:hAnsi="Outfit"/>
          <w:color w:val="0066FF"/>
          <w:sz w:val="18"/>
          <w:u w:val="single"/>
        </w:rPr>
        <w:t>https://yemenhealthos.com/ar/marketing/users/follow-up/</w:t>
      </w:r>
    </w:p>
    <w:p>
      <w:pPr>
        <w:bidi w:val="1"/>
        <w:spacing w:before="320" w:after="80"/>
        <w:jc w:val="right"/>
      </w:pPr>
      <w:r>
        <w:rPr>
          <w:rFonts w:ascii="Cairo" w:hAnsi="Cairo"/>
          <w:b/>
          <w:color w:val="0066FF"/>
          <w:sz w:val="27"/>
        </w:rPr>
        <w:t xml:space="preserve">الموديول 6: </w:t>
      </w:r>
      <w:r>
        <w:rPr>
          <w:rFonts w:ascii="Cairo" w:hAnsi="Cairo"/>
          <w:b/>
          <w:color w:val="001533"/>
          <w:sz w:val="27"/>
        </w:rPr>
        <w:t>تحويل المنشآت والتهيئة السحابية الفورية (1-Click Tenant Provisioning)</w:t>
      </w:r>
    </w:p>
    <w:p>
      <w:pPr>
        <w:bidi w:val="1"/>
        <w:spacing w:after="160"/>
        <w:jc w:val="right"/>
      </w:pPr>
      <w:r>
        <w:rPr>
          <w:rFonts w:ascii="Cairo" w:hAnsi="Cairo"/>
          <w:color w:val="1E293B"/>
          <w:sz w:val="20"/>
        </w:rPr>
        <w:t>أداة استثنائية تمكن المندوب من تحويل العميل المتعاقد معه إلى منشأة سحابية جاهزة للعمل خلال 30 ثانية دون أي تدخل تقني معقد.</w:t>
      </w:r>
    </w:p>
    <w:p>
      <w:pPr>
        <w:bidi w:val="1"/>
        <w:spacing w:before="40" w:after="60"/>
        <w:ind w:right="288"/>
        <w:jc w:val="right"/>
      </w:pPr>
      <w:r>
        <w:rPr>
          <w:rFonts w:ascii="Cairo" w:hAnsi="Cairo"/>
          <w:b/>
          <w:color w:val="0E8A07"/>
          <w:sz w:val="19"/>
        </w:rPr>
        <w:t xml:space="preserve">✔  </w:t>
      </w:r>
      <w:r>
        <w:rPr>
          <w:rFonts w:ascii="Cairo" w:hAnsi="Cairo"/>
          <w:color w:val="1E293B"/>
          <w:sz w:val="19"/>
        </w:rPr>
        <w:t>تأسيس المنشأة بنقرة زر (Convert Lead to Tenant): إنشاء قاعدة بيانات العيادة أو المستشفى فورياً مع توليد النطاق الفرعي Subdomain الخاص بها.</w:t>
      </w:r>
    </w:p>
    <w:p>
      <w:pPr>
        <w:bidi w:val="1"/>
        <w:spacing w:before="40" w:after="60"/>
        <w:ind w:right="288"/>
        <w:jc w:val="right"/>
      </w:pPr>
      <w:r>
        <w:rPr>
          <w:rFonts w:ascii="Cairo" w:hAnsi="Cairo"/>
          <w:b/>
          <w:color w:val="0E8A07"/>
          <w:sz w:val="19"/>
        </w:rPr>
        <w:t xml:space="preserve">✔  </w:t>
      </w:r>
      <w:r>
        <w:rPr>
          <w:rFonts w:ascii="Cairo" w:hAnsi="Cairo"/>
          <w:color w:val="1E293B"/>
          <w:sz w:val="19"/>
        </w:rPr>
        <w:t>توليد حساب الطبيب وكلمة المرور الآمنة: إنشاء بيانات الدخول المعتمدة وربطها برقم هاتف العميل الرسمي في قاعدة البيانات المشفرة.</w:t>
      </w:r>
    </w:p>
    <w:p>
      <w:pPr>
        <w:bidi w:val="1"/>
        <w:spacing w:before="40" w:after="60"/>
        <w:ind w:right="288"/>
        <w:jc w:val="right"/>
      </w:pPr>
      <w:r>
        <w:rPr>
          <w:rFonts w:ascii="Cairo" w:hAnsi="Cairo"/>
          <w:b/>
          <w:color w:val="0E8A07"/>
          <w:sz w:val="19"/>
        </w:rPr>
        <w:t xml:space="preserve">✔  </w:t>
      </w:r>
      <w:r>
        <w:rPr>
          <w:rFonts w:ascii="Cairo" w:hAnsi="Cairo"/>
          <w:color w:val="1E293B"/>
          <w:sz w:val="19"/>
        </w:rPr>
        <w:t>تحديث حالة العميل إلى (Closed Won): قيد المنشأة في حسابات إنجاز المندوب بنسبة 100% وإدراجها ضمن استحقاق العمولات الفوري.</w:t>
      </w:r>
    </w:p>
    <w:p>
      <w:pPr>
        <w:bidi w:val="1"/>
        <w:spacing w:before="40" w:after="60"/>
        <w:ind w:right="288"/>
        <w:jc w:val="right"/>
      </w:pPr>
      <w:r>
        <w:rPr>
          <w:rFonts w:ascii="Cairo" w:hAnsi="Cairo"/>
          <w:b/>
          <w:color w:val="0E8A07"/>
          <w:sz w:val="19"/>
        </w:rPr>
        <w:t xml:space="preserve">✔  </w:t>
      </w:r>
      <w:r>
        <w:rPr>
          <w:rFonts w:ascii="Cairo" w:hAnsi="Cairo"/>
          <w:color w:val="1E293B"/>
          <w:sz w:val="19"/>
        </w:rPr>
        <w:t>إرسال وثيقة التسليم عبر واتساب: توليد رسالة ترحيبية رسمية جاهزة للمشاركة تتضمن رابط الدخول، اسم المستخدم، وبيانات الانطلاق الفوري.</w:t>
      </w:r>
    </w:p>
    <w:p>
      <w:pPr>
        <w:bidi w:val="1"/>
        <w:spacing w:before="120" w:after="240"/>
        <w:jc w:val="right"/>
      </w:pPr>
      <w:r>
        <w:rPr>
          <w:rFonts w:ascii="Cairo" w:hAnsi="Cairo"/>
          <w:b/>
          <w:color w:val="001533"/>
          <w:sz w:val="18"/>
        </w:rPr>
        <w:t xml:space="preserve">🔗 الرابط التشغيلي المباشر: </w:t>
      </w:r>
      <w:r>
        <w:rPr>
          <w:rFonts w:ascii="Outfit" w:hAnsi="Outfit"/>
          <w:color w:val="0066FF"/>
          <w:sz w:val="18"/>
          <w:u w:val="single"/>
        </w:rPr>
        <w:t>https://yemenhealthos.com/ar/marketing/leads/</w:t>
      </w:r>
    </w:p>
    <w:p>
      <w:pPr>
        <w:bidi w:val="1"/>
        <w:spacing w:before="320" w:after="80"/>
        <w:jc w:val="right"/>
      </w:pPr>
      <w:r>
        <w:rPr>
          <w:rFonts w:ascii="Cairo" w:hAnsi="Cairo"/>
          <w:b/>
          <w:color w:val="0066FF"/>
          <w:sz w:val="27"/>
        </w:rPr>
        <w:t xml:space="preserve">الموديول 7: </w:t>
      </w:r>
      <w:r>
        <w:rPr>
          <w:rFonts w:ascii="Cairo" w:hAnsi="Cairo"/>
          <w:b/>
          <w:color w:val="001533"/>
          <w:sz w:val="27"/>
        </w:rPr>
        <w:t>برنامج سفراء وموزعي الجامعات الطبية (Campus HealthTech Pioneers)</w:t>
      </w:r>
    </w:p>
    <w:p>
      <w:pPr>
        <w:bidi w:val="1"/>
        <w:spacing w:after="160"/>
        <w:jc w:val="right"/>
      </w:pPr>
      <w:r>
        <w:rPr>
          <w:rFonts w:ascii="Cairo" w:hAnsi="Cairo"/>
          <w:color w:val="1E293B"/>
          <w:sz w:val="20"/>
        </w:rPr>
        <w:t>بوابة استقطاب مخصصة لطلاب السنوات النهائية والامتياز لكليات الطب والصيدلة والمختبرات لتحويلهم إلى قادة توزيع ميدانيين معتمدين.</w:t>
      </w:r>
    </w:p>
    <w:p>
      <w:pPr>
        <w:bidi w:val="1"/>
        <w:spacing w:before="40" w:after="60"/>
        <w:ind w:right="288"/>
        <w:jc w:val="right"/>
      </w:pPr>
      <w:r>
        <w:rPr>
          <w:rFonts w:ascii="Cairo" w:hAnsi="Cairo"/>
          <w:b/>
          <w:color w:val="0E8A07"/>
          <w:sz w:val="19"/>
        </w:rPr>
        <w:t xml:space="preserve">✔  </w:t>
      </w:r>
      <w:r>
        <w:rPr>
          <w:rFonts w:ascii="Cairo" w:hAnsi="Cairo"/>
          <w:color w:val="1E293B"/>
          <w:sz w:val="19"/>
        </w:rPr>
        <w:t>بوابة التقديم الإلكترونية للطلاب: استقبال طلبات الانضمام عبر نموذج التقديم المخصص في /marketing/ambassadors/apply/.</w:t>
      </w:r>
    </w:p>
    <w:p>
      <w:pPr>
        <w:bidi w:val="1"/>
        <w:spacing w:before="40" w:after="60"/>
        <w:ind w:right="288"/>
        <w:jc w:val="right"/>
      </w:pPr>
      <w:r>
        <w:rPr>
          <w:rFonts w:ascii="Cairo" w:hAnsi="Cairo"/>
          <w:b/>
          <w:color w:val="0E8A07"/>
          <w:sz w:val="19"/>
        </w:rPr>
        <w:t xml:space="preserve">✔  </w:t>
      </w:r>
      <w:r>
        <w:rPr>
          <w:rFonts w:ascii="Cairo" w:hAnsi="Cairo"/>
          <w:color w:val="1E293B"/>
          <w:sz w:val="19"/>
        </w:rPr>
        <w:t>جدولة المقابلات واختبار الأدلة التشغيلية: إرسال دعوات مقابلات الفيديو عبر واتساب مع إلزام المتقدمين بدراسة كتيبات المنظومة الطبية.</w:t>
      </w:r>
    </w:p>
    <w:p>
      <w:pPr>
        <w:bidi w:val="1"/>
        <w:spacing w:before="40" w:after="60"/>
        <w:ind w:right="288"/>
        <w:jc w:val="right"/>
      </w:pPr>
      <w:r>
        <w:rPr>
          <w:rFonts w:ascii="Cairo" w:hAnsi="Cairo"/>
          <w:b/>
          <w:color w:val="0E8A07"/>
          <w:sz w:val="19"/>
        </w:rPr>
        <w:t xml:space="preserve">✔  </w:t>
      </w:r>
      <w:r>
        <w:rPr>
          <w:rFonts w:ascii="Cairo" w:hAnsi="Cairo"/>
          <w:color w:val="1E293B"/>
          <w:sz w:val="19"/>
        </w:rPr>
        <w:t>الاعتماد والتعيين التلقائي (Approve &amp; Provision): ترقية الطالب الناجح بنقرة زر إلى موزع معتمد وتوليد عقد التوزيع الرسمي DistributorAgreement.</w:t>
      </w:r>
    </w:p>
    <w:p>
      <w:pPr>
        <w:bidi w:val="1"/>
        <w:spacing w:before="40" w:after="60"/>
        <w:ind w:right="288"/>
        <w:jc w:val="right"/>
      </w:pPr>
      <w:r>
        <w:rPr>
          <w:rFonts w:ascii="Cairo" w:hAnsi="Cairo"/>
          <w:b/>
          <w:color w:val="0E8A07"/>
          <w:sz w:val="19"/>
        </w:rPr>
        <w:t xml:space="preserve">✔  </w:t>
      </w:r>
      <w:r>
        <w:rPr>
          <w:rFonts w:ascii="Cairo" w:hAnsi="Cairo"/>
          <w:color w:val="1E293B"/>
          <w:sz w:val="19"/>
        </w:rPr>
        <w:t>مصفوفة الرتب والمكافآت التنافسية: ترقية السفراء من سفير ناشئ إلى شريك ذهبي ومدير إقليمي بناءً على عدد المنشآت الطبية المفعلة.</w:t>
      </w:r>
    </w:p>
    <w:p>
      <w:pPr>
        <w:bidi w:val="1"/>
        <w:spacing w:before="120" w:after="240"/>
        <w:jc w:val="right"/>
      </w:pPr>
      <w:r>
        <w:rPr>
          <w:rFonts w:ascii="Cairo" w:hAnsi="Cairo"/>
          <w:b/>
          <w:color w:val="001533"/>
          <w:sz w:val="18"/>
        </w:rPr>
        <w:t xml:space="preserve">🔗 الرابط التشغيلي المباشر: </w:t>
      </w:r>
      <w:r>
        <w:rPr>
          <w:rFonts w:ascii="Outfit" w:hAnsi="Outfit"/>
          <w:color w:val="0066FF"/>
          <w:sz w:val="18"/>
          <w:u w:val="single"/>
        </w:rPr>
        <w:t>https://yemenhealthos.com/ar/marketing/ambassadors/apply/</w:t>
      </w:r>
    </w:p>
    <w:p>
      <w:pPr>
        <w:bidi w:val="1"/>
        <w:spacing w:before="320" w:after="80"/>
        <w:jc w:val="right"/>
      </w:pPr>
      <w:r>
        <w:rPr>
          <w:rFonts w:ascii="Cairo" w:hAnsi="Cairo"/>
          <w:b/>
          <w:color w:val="0066FF"/>
          <w:sz w:val="27"/>
        </w:rPr>
        <w:t xml:space="preserve">الموديول 8: </w:t>
      </w:r>
      <w:r>
        <w:rPr>
          <w:rFonts w:ascii="Cairo" w:hAnsi="Cairo"/>
          <w:b/>
          <w:color w:val="001533"/>
          <w:sz w:val="27"/>
        </w:rPr>
        <w:t>سوق توريد الأدوية بالجملة وتتبع أثر الوصفات (B2B Procurement &amp; Rx Output)</w:t>
      </w:r>
    </w:p>
    <w:p>
      <w:pPr>
        <w:bidi w:val="1"/>
        <w:spacing w:after="160"/>
        <w:jc w:val="right"/>
      </w:pPr>
      <w:r>
        <w:rPr>
          <w:rFonts w:ascii="Cairo" w:hAnsi="Cairo"/>
          <w:color w:val="1E293B"/>
          <w:sz w:val="20"/>
        </w:rPr>
        <w:t>ربط مندوبي الدعاية الطبية وموردي الأدوية بسوق الجملة المباشر، وتتبع الأثر الفعلي للزيارات في حركة صرف الوصفات الطبية ومشتريات الصيدليات.</w:t>
      </w:r>
    </w:p>
    <w:p>
      <w:pPr>
        <w:bidi w:val="1"/>
        <w:spacing w:before="40" w:after="60"/>
        <w:ind w:right="288"/>
        <w:jc w:val="right"/>
      </w:pPr>
      <w:r>
        <w:rPr>
          <w:rFonts w:ascii="Cairo" w:hAnsi="Cairo"/>
          <w:b/>
          <w:color w:val="0E8A07"/>
          <w:sz w:val="19"/>
        </w:rPr>
        <w:t xml:space="preserve">✔  </w:t>
      </w:r>
      <w:r>
        <w:rPr>
          <w:rFonts w:ascii="Cairo" w:hAnsi="Cairo"/>
          <w:color w:val="1E293B"/>
          <w:sz w:val="19"/>
        </w:rPr>
        <w:t>تتبع دوران الأصناف بالوصفات الحية (Rx Velocity): رصد فوري للوصفات الطبية التي يكتبها الطبيب لأصناف المورد فور انتهاء زيارة المندوب.</w:t>
      </w:r>
    </w:p>
    <w:p>
      <w:pPr>
        <w:bidi w:val="1"/>
        <w:spacing w:before="40" w:after="60"/>
        <w:ind w:right="288"/>
        <w:jc w:val="right"/>
      </w:pPr>
      <w:r>
        <w:rPr>
          <w:rFonts w:ascii="Cairo" w:hAnsi="Cairo"/>
          <w:b/>
          <w:color w:val="0E8A07"/>
          <w:sz w:val="19"/>
        </w:rPr>
        <w:t xml:space="preserve">✔  </w:t>
      </w:r>
      <w:r>
        <w:rPr>
          <w:rFonts w:ascii="Cairo" w:hAnsi="Cairo"/>
          <w:color w:val="1E293B"/>
          <w:sz w:val="19"/>
        </w:rPr>
        <w:t>حساب العائد المالي التسويقي (Prescription ROI): قياس الجدوى الاقتصادية للحملات الترويجية بمقارنة تكاليف المندوب بحجم الوصفات المولدة.</w:t>
      </w:r>
    </w:p>
    <w:p>
      <w:pPr>
        <w:bidi w:val="1"/>
        <w:spacing w:before="40" w:after="60"/>
        <w:ind w:right="288"/>
        <w:jc w:val="right"/>
      </w:pPr>
      <w:r>
        <w:rPr>
          <w:rFonts w:ascii="Cairo" w:hAnsi="Cairo"/>
          <w:b/>
          <w:color w:val="0E8A07"/>
          <w:sz w:val="19"/>
        </w:rPr>
        <w:t xml:space="preserve">✔  </w:t>
      </w:r>
      <w:r>
        <w:rPr>
          <w:rFonts w:ascii="Cairo" w:hAnsi="Cairo"/>
          <w:color w:val="1E293B"/>
          <w:sz w:val="19"/>
        </w:rPr>
        <w:t>إدارة طلبيات الشراء B2B: تمكين الصيدليات من طلب شحنات الأدوية مباشرة من المستودعات مع متابعة الفواتير وحالات التسليم عبر /supplier/procurement/.</w:t>
      </w:r>
    </w:p>
    <w:p>
      <w:pPr>
        <w:bidi w:val="1"/>
        <w:spacing w:before="40" w:after="60"/>
        <w:ind w:right="288"/>
        <w:jc w:val="right"/>
      </w:pPr>
      <w:r>
        <w:rPr>
          <w:rFonts w:ascii="Cairo" w:hAnsi="Cairo"/>
          <w:b/>
          <w:color w:val="0E8A07"/>
          <w:sz w:val="19"/>
        </w:rPr>
        <w:t xml:space="preserve">✔  </w:t>
      </w:r>
      <w:r>
        <w:rPr>
          <w:rFonts w:ascii="Cairo" w:hAnsi="Cairo"/>
          <w:color w:val="1E293B"/>
          <w:sz w:val="19"/>
        </w:rPr>
        <w:t>اتفاقيات الخصم الحصرية: تفعيل بروتوكولات الأسعار التنافسية بين مصانع ومستودعات الأدوية والمراكز الطبية المنضمة للمنظومة.</w:t>
      </w:r>
    </w:p>
    <w:p>
      <w:pPr>
        <w:bidi w:val="1"/>
        <w:spacing w:before="120" w:after="240"/>
        <w:jc w:val="right"/>
      </w:pPr>
      <w:r>
        <w:rPr>
          <w:rFonts w:ascii="Cairo" w:hAnsi="Cairo"/>
          <w:b/>
          <w:color w:val="001533"/>
          <w:sz w:val="18"/>
        </w:rPr>
        <w:t xml:space="preserve">🔗 الرابط التشغيلي المباشر: </w:t>
      </w:r>
      <w:r>
        <w:rPr>
          <w:rFonts w:ascii="Outfit" w:hAnsi="Outfit"/>
          <w:color w:val="0066FF"/>
          <w:sz w:val="18"/>
          <w:u w:val="single"/>
        </w:rPr>
        <w:t>https://yemenhealthos.com/ar/b2b/catalog/</w:t>
      </w:r>
    </w:p>
    <w:p>
      <w:pPr>
        <w:bidi w:val="1"/>
        <w:spacing w:before="320" w:after="80"/>
        <w:jc w:val="right"/>
      </w:pPr>
      <w:r>
        <w:rPr>
          <w:rFonts w:ascii="Cairo" w:hAnsi="Cairo"/>
          <w:b/>
          <w:color w:val="0066FF"/>
          <w:sz w:val="27"/>
        </w:rPr>
        <w:t xml:space="preserve">الموديول 9: </w:t>
      </w:r>
      <w:r>
        <w:rPr>
          <w:rFonts w:ascii="Cairo" w:hAnsi="Cairo"/>
          <w:b/>
          <w:color w:val="001533"/>
          <w:sz w:val="27"/>
        </w:rPr>
        <w:t>شجرة التوزيع اللانهائية والوكلاء الإقليميين (Endless Franchise Hierarchy &amp; Overrides)</w:t>
      </w:r>
    </w:p>
    <w:p>
      <w:pPr>
        <w:bidi w:val="1"/>
        <w:spacing w:after="160"/>
        <w:jc w:val="right"/>
      </w:pPr>
      <w:r>
        <w:rPr>
          <w:rFonts w:ascii="Cairo" w:hAnsi="Cairo"/>
          <w:color w:val="1E293B"/>
          <w:sz w:val="20"/>
        </w:rPr>
        <w:t>هيكلية امتياز وتوزيع متعددة المستويات تتيح تفويض الصلاحيات وتوزيع العمولات الإشرافية التراكمية بين الوكلاء والمشرفين وسفراء الميدان.</w:t>
      </w:r>
    </w:p>
    <w:p>
      <w:pPr>
        <w:bidi w:val="1"/>
        <w:spacing w:before="40" w:after="60"/>
        <w:ind w:right="288"/>
        <w:jc w:val="right"/>
      </w:pPr>
      <w:r>
        <w:rPr>
          <w:rFonts w:ascii="Cairo" w:hAnsi="Cairo"/>
          <w:b/>
          <w:color w:val="0E8A07"/>
          <w:sz w:val="19"/>
        </w:rPr>
        <w:t xml:space="preserve">✔  </w:t>
      </w:r>
      <w:r>
        <w:rPr>
          <w:rFonts w:ascii="Cairo" w:hAnsi="Cairo"/>
          <w:color w:val="1E293B"/>
          <w:sz w:val="19"/>
        </w:rPr>
        <w:t>الهيكلية الهرمية اللانهائية (Endless Agent Tree): ربط المشرف العام بالموزع الإقليمي، ثم الموزع الفرعي، فالمندوب الميداني وسفير الجامعة.</w:t>
      </w:r>
    </w:p>
    <w:p>
      <w:pPr>
        <w:bidi w:val="1"/>
        <w:spacing w:before="40" w:after="60"/>
        <w:ind w:right="288"/>
        <w:jc w:val="right"/>
      </w:pPr>
      <w:r>
        <w:rPr>
          <w:rFonts w:ascii="Cairo" w:hAnsi="Cairo"/>
          <w:b/>
          <w:color w:val="0E8A07"/>
          <w:sz w:val="19"/>
        </w:rPr>
        <w:t xml:space="preserve">✔  </w:t>
      </w:r>
      <w:r>
        <w:rPr>
          <w:rFonts w:ascii="Cairo" w:hAnsi="Cairo"/>
          <w:color w:val="1E293B"/>
          <w:sz w:val="19"/>
        </w:rPr>
        <w:t>عمولات الإشراف التراكمية (Manager Override Profits): احتساب أرباح إشرافية تلقائية للموزعين عن كل اشتراك أو منشأة يفعلها أي مندوب في شجرتهم.</w:t>
      </w:r>
    </w:p>
    <w:p>
      <w:pPr>
        <w:bidi w:val="1"/>
        <w:spacing w:before="40" w:after="60"/>
        <w:ind w:right="288"/>
        <w:jc w:val="right"/>
      </w:pPr>
      <w:r>
        <w:rPr>
          <w:rFonts w:ascii="Cairo" w:hAnsi="Cairo"/>
          <w:b/>
          <w:color w:val="0E8A07"/>
          <w:sz w:val="19"/>
        </w:rPr>
        <w:t xml:space="preserve">✔  </w:t>
      </w:r>
      <w:r>
        <w:rPr>
          <w:rFonts w:ascii="Cairo" w:hAnsi="Cairo"/>
          <w:color w:val="1E293B"/>
          <w:sz w:val="19"/>
        </w:rPr>
        <w:t>حوكمة سقوف العمولات: نظام رقابي ذكي يمنع الوكيل من منح أي مندوب نسبة تتجاوز حصته الأصلية حفاظاً على التوازن المالي.</w:t>
      </w:r>
    </w:p>
    <w:p>
      <w:pPr>
        <w:bidi w:val="1"/>
        <w:spacing w:before="40" w:after="60"/>
        <w:ind w:right="288"/>
        <w:jc w:val="right"/>
      </w:pPr>
      <w:r>
        <w:rPr>
          <w:rFonts w:ascii="Cairo" w:hAnsi="Cairo"/>
          <w:b/>
          <w:color w:val="0E8A07"/>
          <w:sz w:val="19"/>
        </w:rPr>
        <w:t xml:space="preserve">✔  </w:t>
      </w:r>
      <w:r>
        <w:rPr>
          <w:rFonts w:ascii="Cairo" w:hAnsi="Cairo"/>
          <w:color w:val="1E293B"/>
          <w:sz w:val="19"/>
        </w:rPr>
        <w:t>التحكم الفوري في الحسابات: إيقاف أو تنشيط حساب أي وكيل فرعي أو تعديل نسبته بضغطة زر واحدة عبر EndlessNetworkTree.</w:t>
      </w:r>
    </w:p>
    <w:p>
      <w:pPr>
        <w:bidi w:val="1"/>
        <w:spacing w:before="120" w:after="240"/>
        <w:jc w:val="right"/>
      </w:pPr>
      <w:r>
        <w:rPr>
          <w:rFonts w:ascii="Cairo" w:hAnsi="Cairo"/>
          <w:b/>
          <w:color w:val="001533"/>
          <w:sz w:val="18"/>
        </w:rPr>
        <w:t xml:space="preserve">🔗 الرابط التشغيلي المباشر: </w:t>
      </w:r>
      <w:r>
        <w:rPr>
          <w:rFonts w:ascii="Outfit" w:hAnsi="Outfit"/>
          <w:color w:val="0066FF"/>
          <w:sz w:val="18"/>
          <w:u w:val="single"/>
        </w:rPr>
        <w:t>https://yemenhealthos.com/ar/marketing/supervisor/matrix/</w:t>
      </w:r>
    </w:p>
    <w:p>
      <w:pPr>
        <w:bidi w:val="1"/>
        <w:spacing w:before="320" w:after="80"/>
        <w:jc w:val="right"/>
      </w:pPr>
      <w:r>
        <w:rPr>
          <w:rFonts w:ascii="Cairo" w:hAnsi="Cairo"/>
          <w:b/>
          <w:color w:val="0066FF"/>
          <w:sz w:val="27"/>
        </w:rPr>
        <w:t xml:space="preserve">الموديول 10: </w:t>
      </w:r>
      <w:r>
        <w:rPr>
          <w:rFonts w:ascii="Cairo" w:hAnsi="Cairo"/>
          <w:b/>
          <w:color w:val="001533"/>
          <w:sz w:val="27"/>
        </w:rPr>
        <w:t>الحسابات والعمولات وسحب الأرباح (FinOps, Ledger &amp; Payout Workflow)</w:t>
      </w:r>
    </w:p>
    <w:p>
      <w:pPr>
        <w:bidi w:val="1"/>
        <w:spacing w:after="160"/>
        <w:jc w:val="right"/>
      </w:pPr>
      <w:r>
        <w:rPr>
          <w:rFonts w:ascii="Cairo" w:hAnsi="Cairo"/>
          <w:color w:val="1E293B"/>
          <w:sz w:val="20"/>
        </w:rPr>
        <w:t>حوكمة مالية متكاملة تضمن الشفافية المطلقة، وتتبع أرصدة عمولات الاشتراكات وتوريد الأدوية، مع آلية صرف وسحب فوري للأرباح المكتسبة.</w:t>
      </w:r>
    </w:p>
    <w:p>
      <w:pPr>
        <w:bidi w:val="1"/>
        <w:spacing w:before="40" w:after="60"/>
        <w:ind w:right="288"/>
        <w:jc w:val="right"/>
      </w:pPr>
      <w:r>
        <w:rPr>
          <w:rFonts w:ascii="Cairo" w:hAnsi="Cairo"/>
          <w:b/>
          <w:color w:val="0E8A07"/>
          <w:sz w:val="19"/>
        </w:rPr>
        <w:t xml:space="preserve">✔  </w:t>
      </w:r>
      <w:r>
        <w:rPr>
          <w:rFonts w:ascii="Cairo" w:hAnsi="Cairo"/>
          <w:color w:val="1E293B"/>
          <w:sz w:val="19"/>
        </w:rPr>
        <w:t>حساب العمولات الآلي متعدد المسارات: عمولة على الاشتراكات السحابية السنوية، عمولة على مبيعات الأدوية بالجملة، ونسبة من مقبوضات الصناديق POS.</w:t>
      </w:r>
    </w:p>
    <w:p>
      <w:pPr>
        <w:bidi w:val="1"/>
        <w:spacing w:before="40" w:after="60"/>
        <w:ind w:right="288"/>
        <w:jc w:val="right"/>
      </w:pPr>
      <w:r>
        <w:rPr>
          <w:rFonts w:ascii="Cairo" w:hAnsi="Cairo"/>
          <w:b/>
          <w:color w:val="0E8A07"/>
          <w:sz w:val="19"/>
        </w:rPr>
        <w:t xml:space="preserve">✔  </w:t>
      </w:r>
      <w:r>
        <w:rPr>
          <w:rFonts w:ascii="Cairo" w:hAnsi="Cairo"/>
          <w:color w:val="1E293B"/>
          <w:sz w:val="19"/>
        </w:rPr>
        <w:t>دفتر الأستاذ المالي الموثق (Immutable Commission Ledger): تسجيل كل عمولة برقم تسوية فريد يوضح العيادة المفعلة وتاريخ الحركة بالثانية.</w:t>
      </w:r>
    </w:p>
    <w:p>
      <w:pPr>
        <w:bidi w:val="1"/>
        <w:spacing w:before="40" w:after="60"/>
        <w:ind w:right="288"/>
        <w:jc w:val="right"/>
      </w:pPr>
      <w:r>
        <w:rPr>
          <w:rFonts w:ascii="Cairo" w:hAnsi="Cairo"/>
          <w:b/>
          <w:color w:val="0E8A07"/>
          <w:sz w:val="19"/>
        </w:rPr>
        <w:t xml:space="preserve">✔  </w:t>
      </w:r>
      <w:r>
        <w:rPr>
          <w:rFonts w:ascii="Cairo" w:hAnsi="Cairo"/>
          <w:color w:val="1E293B"/>
          <w:sz w:val="19"/>
        </w:rPr>
        <w:t>طلب سحب الأرباح الإلكتروني (Payout Request): تمكين الموزع والمندوب من طلب صرف أرباحه لحسابه البنكي أو شركة الصرافة المعتمدة.</w:t>
      </w:r>
    </w:p>
    <w:p>
      <w:pPr>
        <w:bidi w:val="1"/>
        <w:spacing w:before="40" w:after="60"/>
        <w:ind w:right="288"/>
        <w:jc w:val="right"/>
      </w:pPr>
      <w:r>
        <w:rPr>
          <w:rFonts w:ascii="Cairo" w:hAnsi="Cairo"/>
          <w:b/>
          <w:color w:val="0E8A07"/>
          <w:sz w:val="19"/>
        </w:rPr>
        <w:t xml:space="preserve">✔  </w:t>
      </w:r>
      <w:r>
        <w:rPr>
          <w:rFonts w:ascii="Cairo" w:hAnsi="Cairo"/>
          <w:color w:val="1E293B"/>
          <w:sz w:val="19"/>
        </w:rPr>
        <w:t>أرشفة إشعارات الصرف الرسمية: توثيق عمليات التحويل المالي بأرقام الحوالات وتحديث الرصيد القابل للسحب فورياً عبر /partners/distributor/dashboard/.</w:t>
      </w:r>
    </w:p>
    <w:p>
      <w:pPr>
        <w:bidi w:val="1"/>
        <w:spacing w:before="120" w:after="240"/>
        <w:jc w:val="right"/>
      </w:pPr>
      <w:r>
        <w:rPr>
          <w:rFonts w:ascii="Cairo" w:hAnsi="Cairo"/>
          <w:b/>
          <w:color w:val="001533"/>
          <w:sz w:val="18"/>
        </w:rPr>
        <w:t xml:space="preserve">🔗 الرابط التشغيلي المباشر: </w:t>
      </w:r>
      <w:r>
        <w:rPr>
          <w:rFonts w:ascii="Outfit" w:hAnsi="Outfit"/>
          <w:color w:val="0066FF"/>
          <w:sz w:val="18"/>
          <w:u w:val="single"/>
        </w:rPr>
        <w:t>https://yemenhealthos.com/ar/partners/distributor/dashboard/</w:t>
      </w:r>
    </w:p>
    <w:p>
      <w:r>
        <w:br w:type="page"/>
      </w:r>
    </w:p>
    <w:p>
      <w:pPr>
        <w:bidi w:val="1"/>
        <w:spacing w:after="200"/>
        <w:jc w:val="right"/>
      </w:pPr>
      <w:r>
        <w:rPr>
          <w:rFonts w:ascii="Cairo" w:hAnsi="Cairo"/>
          <w:b/>
          <w:color w:val="001533"/>
          <w:sz w:val="30"/>
        </w:rPr>
        <w:t>ملحق: اختصارات العمل الميداني وسرعة التنفيذ (Field Rep Hotkeys)</w:t>
      </w:r>
    </w:p>
    <w:tbl>
      <w:tblPr>
        <w:tblW w:type="auto" w:w="0"/>
        <w:jc w:val="center"/>
        <w:tblLook w:firstColumn="1" w:firstRow="1" w:lastColumn="0" w:lastRow="0" w:noHBand="0" w:noVBand="1" w:val="04A0"/>
        <w:bidiVisual/>
      </w:tblPr>
      <w:tblGrid>
        <w:gridCol w:w="3216"/>
        <w:gridCol w:w="3216"/>
        <w:gridCol w:w="3216"/>
      </w:tblGrid>
      <w:tr>
        <w:tc>
          <w:tcPr>
            <w:tcW w:type="dxa" w:w="3216"/>
            <w:shd w:fill="001533"/>
            <w:tcMar>
              <w:top w:w="90" w:type="dxa"/>
              <w:bottom w:w="90" w:type="dxa"/>
              <w:left w:w="130" w:type="dxa"/>
              <w:right w:w="130" w:type="dxa"/>
            </w:tcMar>
          </w:tcPr>
          <w:p>
            <w:pPr>
              <w:bidi w:val="1"/>
              <w:jc w:val="right"/>
            </w:pPr>
            <w:r>
              <w:rPr>
                <w:rFonts w:ascii="Cairo" w:hAnsi="Cairo"/>
                <w:b/>
                <w:color w:val="FFFFFF"/>
              </w:rPr>
              <w:t>مفتاح الاختصار (HotKey)</w:t>
            </w:r>
          </w:p>
        </w:tc>
        <w:tc>
          <w:tcPr>
            <w:tcW w:type="dxa" w:w="3216"/>
            <w:shd w:fill="001533"/>
            <w:tcMar>
              <w:top w:w="90" w:type="dxa"/>
              <w:bottom w:w="90" w:type="dxa"/>
              <w:left w:w="130" w:type="dxa"/>
              <w:right w:w="130" w:type="dxa"/>
            </w:tcMar>
          </w:tcPr>
          <w:p>
            <w:pPr>
              <w:bidi w:val="1"/>
              <w:jc w:val="right"/>
            </w:pPr>
            <w:r>
              <w:rPr>
                <w:rFonts w:ascii="Cairo" w:hAnsi="Cairo"/>
                <w:b/>
                <w:color w:val="FFFFFF"/>
              </w:rPr>
              <w:t>الوظيفة الميدانية</w:t>
            </w:r>
          </w:p>
        </w:tc>
        <w:tc>
          <w:tcPr>
            <w:tcW w:type="dxa" w:w="3216"/>
            <w:shd w:fill="001533"/>
            <w:tcMar>
              <w:top w:w="90" w:type="dxa"/>
              <w:bottom w:w="90" w:type="dxa"/>
              <w:left w:w="130" w:type="dxa"/>
              <w:right w:w="130" w:type="dxa"/>
            </w:tcMar>
          </w:tcPr>
          <w:p>
            <w:pPr>
              <w:bidi w:val="1"/>
              <w:jc w:val="right"/>
            </w:pPr>
            <w:r>
              <w:rPr>
                <w:rFonts w:ascii="Cairo" w:hAnsi="Cairo"/>
                <w:b/>
                <w:color w:val="FFFFFF"/>
              </w:rPr>
              <w:t>الأثر الفوري في المنظومة</w:t>
            </w:r>
          </w:p>
        </w:tc>
      </w:tr>
      <w:tr>
        <w:tc>
          <w:tcPr>
            <w:tcW w:type="dxa" w:w="3216"/>
            <w:shd w:fill="FFFFFF"/>
            <w:tcMar>
              <w:top w:w="70" w:type="dxa"/>
              <w:bottom w:w="70" w:type="dxa"/>
              <w:left w:w="110" w:type="dxa"/>
              <w:right w:w="110" w:type="dxa"/>
            </w:tcMar>
          </w:tcPr>
          <w:p>
            <w:pPr>
              <w:bidi w:val="1"/>
              <w:jc w:val="right"/>
            </w:pPr>
            <w:r>
              <w:rPr>
                <w:rFonts w:ascii="Cairo" w:hAnsi="Cairo"/>
                <w:b/>
                <w:color w:val="0066FF"/>
                <w:sz w:val="19"/>
              </w:rPr>
              <w:t>Tap + Hold</w:t>
            </w:r>
          </w:p>
        </w:tc>
        <w:tc>
          <w:tcPr>
            <w:tcW w:type="dxa" w:w="3216"/>
            <w:shd w:fill="FFFFFF"/>
            <w:tcMar>
              <w:top w:w="70" w:type="dxa"/>
              <w:bottom w:w="70" w:type="dxa"/>
              <w:left w:w="110" w:type="dxa"/>
              <w:right w:w="110" w:type="dxa"/>
            </w:tcMar>
          </w:tcPr>
          <w:p>
            <w:pPr>
              <w:bidi w:val="1"/>
              <w:jc w:val="right"/>
            </w:pPr>
            <w:r>
              <w:rPr>
                <w:rFonts w:ascii="Cairo" w:hAnsi="Cairo"/>
                <w:color w:val="1E293B"/>
                <w:sz w:val="19"/>
              </w:rPr>
              <w:t>سحب وإفلات في الكانبان</w:t>
            </w:r>
          </w:p>
        </w:tc>
        <w:tc>
          <w:tcPr>
            <w:tcW w:type="dxa" w:w="3216"/>
            <w:shd w:fill="FFFFFF"/>
            <w:tcMar>
              <w:top w:w="70" w:type="dxa"/>
              <w:bottom w:w="70" w:type="dxa"/>
              <w:left w:w="110" w:type="dxa"/>
              <w:right w:w="110" w:type="dxa"/>
            </w:tcMar>
          </w:tcPr>
          <w:p>
            <w:pPr>
              <w:bidi w:val="1"/>
              <w:jc w:val="right"/>
            </w:pPr>
            <w:r>
              <w:rPr>
                <w:rFonts w:ascii="Cairo" w:hAnsi="Cairo"/>
                <w:color w:val="1E293B"/>
                <w:sz w:val="19"/>
              </w:rPr>
              <w:t>نقل المنشأة الطبية بين مراحل المسار بنقرة مستمرة</w:t>
            </w:r>
          </w:p>
        </w:tc>
      </w:tr>
      <w:tr>
        <w:tc>
          <w:tcPr>
            <w:tcW w:type="dxa" w:w="3216"/>
            <w:shd w:fill="F0F9FF"/>
            <w:tcMar>
              <w:top w:w="70" w:type="dxa"/>
              <w:bottom w:w="70" w:type="dxa"/>
              <w:left w:w="110" w:type="dxa"/>
              <w:right w:w="110" w:type="dxa"/>
            </w:tcMar>
          </w:tcPr>
          <w:p>
            <w:pPr>
              <w:bidi w:val="1"/>
              <w:jc w:val="right"/>
            </w:pPr>
            <w:r>
              <w:rPr>
                <w:rFonts w:ascii="Cairo" w:hAnsi="Cairo"/>
                <w:b/>
                <w:color w:val="0066FF"/>
                <w:sz w:val="19"/>
              </w:rPr>
              <w:t>1-Click Launch</w:t>
            </w:r>
          </w:p>
        </w:tc>
        <w:tc>
          <w:tcPr>
            <w:tcW w:type="dxa" w:w="3216"/>
            <w:shd w:fill="F0F9FF"/>
            <w:tcMar>
              <w:top w:w="70" w:type="dxa"/>
              <w:bottom w:w="70" w:type="dxa"/>
              <w:left w:w="110" w:type="dxa"/>
              <w:right w:w="110" w:type="dxa"/>
            </w:tcMar>
          </w:tcPr>
          <w:p>
            <w:pPr>
              <w:bidi w:val="1"/>
              <w:jc w:val="right"/>
            </w:pPr>
            <w:r>
              <w:rPr>
                <w:rFonts w:ascii="Cairo" w:hAnsi="Cairo"/>
                <w:color w:val="1E293B"/>
                <w:sz w:val="19"/>
              </w:rPr>
              <w:t>بدء الملاحة بالمسار الذكي</w:t>
            </w:r>
          </w:p>
        </w:tc>
        <w:tc>
          <w:tcPr>
            <w:tcW w:type="dxa" w:w="3216"/>
            <w:shd w:fill="F0F9FF"/>
            <w:tcMar>
              <w:top w:w="70" w:type="dxa"/>
              <w:bottom w:w="70" w:type="dxa"/>
              <w:left w:w="110" w:type="dxa"/>
              <w:right w:w="110" w:type="dxa"/>
            </w:tcMar>
          </w:tcPr>
          <w:p>
            <w:pPr>
              <w:bidi w:val="1"/>
              <w:jc w:val="right"/>
            </w:pPr>
            <w:r>
              <w:rPr>
                <w:rFonts w:ascii="Cairo" w:hAnsi="Cairo"/>
                <w:color w:val="1E293B"/>
                <w:sz w:val="19"/>
              </w:rPr>
              <w:t>فتح خط السير المحسوب عبر خرائط جوجل بتوجيه صوتي</w:t>
            </w:r>
          </w:p>
        </w:tc>
      </w:tr>
      <w:tr>
        <w:tc>
          <w:tcPr>
            <w:tcW w:type="dxa" w:w="3216"/>
            <w:shd w:fill="FFFFFF"/>
            <w:tcMar>
              <w:top w:w="70" w:type="dxa"/>
              <w:bottom w:w="70" w:type="dxa"/>
              <w:left w:w="110" w:type="dxa"/>
              <w:right w:w="110" w:type="dxa"/>
            </w:tcMar>
          </w:tcPr>
          <w:p>
            <w:pPr>
              <w:bidi w:val="1"/>
              <w:jc w:val="right"/>
            </w:pPr>
            <w:r>
              <w:rPr>
                <w:rFonts w:ascii="Cairo" w:hAnsi="Cairo"/>
                <w:b/>
                <w:color w:val="0066FF"/>
                <w:sz w:val="19"/>
              </w:rPr>
              <w:t>Auto-GPS</w:t>
            </w:r>
          </w:p>
        </w:tc>
        <w:tc>
          <w:tcPr>
            <w:tcW w:type="dxa" w:w="3216"/>
            <w:shd w:fill="FFFFFF"/>
            <w:tcMar>
              <w:top w:w="70" w:type="dxa"/>
              <w:bottom w:w="70" w:type="dxa"/>
              <w:left w:w="110" w:type="dxa"/>
              <w:right w:w="110" w:type="dxa"/>
            </w:tcMar>
          </w:tcPr>
          <w:p>
            <w:pPr>
              <w:bidi w:val="1"/>
              <w:jc w:val="right"/>
            </w:pPr>
            <w:r>
              <w:rPr>
                <w:rFonts w:ascii="Cairo" w:hAnsi="Cairo"/>
                <w:color w:val="1E293B"/>
                <w:sz w:val="19"/>
              </w:rPr>
              <w:t>التحقق الجغرافي من الزيارة</w:t>
            </w:r>
          </w:p>
        </w:tc>
        <w:tc>
          <w:tcPr>
            <w:tcW w:type="dxa" w:w="3216"/>
            <w:shd w:fill="FFFFFF"/>
            <w:tcMar>
              <w:top w:w="70" w:type="dxa"/>
              <w:bottom w:w="70" w:type="dxa"/>
              <w:left w:w="110" w:type="dxa"/>
              <w:right w:w="110" w:type="dxa"/>
            </w:tcMar>
          </w:tcPr>
          <w:p>
            <w:pPr>
              <w:bidi w:val="1"/>
              <w:jc w:val="right"/>
            </w:pPr>
            <w:r>
              <w:rPr>
                <w:rFonts w:ascii="Cairo" w:hAnsi="Cairo"/>
                <w:color w:val="1E293B"/>
                <w:sz w:val="19"/>
              </w:rPr>
              <w:t>التقاط إحداثيات العيادة وتأكيد نطاق الـ 500 متر فورياً</w:t>
            </w:r>
          </w:p>
        </w:tc>
      </w:tr>
      <w:tr>
        <w:tc>
          <w:tcPr>
            <w:tcW w:type="dxa" w:w="3216"/>
            <w:shd w:fill="F0F9FF"/>
            <w:tcMar>
              <w:top w:w="70" w:type="dxa"/>
              <w:bottom w:w="70" w:type="dxa"/>
              <w:left w:w="110" w:type="dxa"/>
              <w:right w:w="110" w:type="dxa"/>
            </w:tcMar>
          </w:tcPr>
          <w:p>
            <w:pPr>
              <w:bidi w:val="1"/>
              <w:jc w:val="right"/>
            </w:pPr>
            <w:r>
              <w:rPr>
                <w:rFonts w:ascii="Cairo" w:hAnsi="Cairo"/>
                <w:b/>
                <w:color w:val="0066FF"/>
                <w:sz w:val="19"/>
              </w:rPr>
              <w:t>Instant WA</w:t>
            </w:r>
          </w:p>
        </w:tc>
        <w:tc>
          <w:tcPr>
            <w:tcW w:type="dxa" w:w="3216"/>
            <w:shd w:fill="F0F9FF"/>
            <w:tcMar>
              <w:top w:w="70" w:type="dxa"/>
              <w:bottom w:w="70" w:type="dxa"/>
              <w:left w:w="110" w:type="dxa"/>
              <w:right w:w="110" w:type="dxa"/>
            </w:tcMar>
          </w:tcPr>
          <w:p>
            <w:pPr>
              <w:bidi w:val="1"/>
              <w:jc w:val="right"/>
            </w:pPr>
            <w:r>
              <w:rPr>
                <w:rFonts w:ascii="Cairo" w:hAnsi="Cairo"/>
                <w:color w:val="1E293B"/>
                <w:sz w:val="19"/>
              </w:rPr>
              <w:t>إرسال قالب الواتساب التفاعلي</w:t>
            </w:r>
          </w:p>
        </w:tc>
        <w:tc>
          <w:tcPr>
            <w:tcW w:type="dxa" w:w="3216"/>
            <w:shd w:fill="F0F9FF"/>
            <w:tcMar>
              <w:top w:w="70" w:type="dxa"/>
              <w:bottom w:w="70" w:type="dxa"/>
              <w:left w:w="110" w:type="dxa"/>
              <w:right w:w="110" w:type="dxa"/>
            </w:tcMar>
          </w:tcPr>
          <w:p>
            <w:pPr>
              <w:bidi w:val="1"/>
              <w:jc w:val="right"/>
            </w:pPr>
            <w:r>
              <w:rPr>
                <w:rFonts w:ascii="Cairo" w:hAnsi="Cairo"/>
                <w:color w:val="1E293B"/>
                <w:sz w:val="19"/>
              </w:rPr>
              <w:t>مشاركة رابط المنشأة وبيانات الدخول مع الطبيب بنقرة واحدة</w:t>
            </w:r>
          </w:p>
        </w:tc>
      </w:tr>
      <w:tr>
        <w:tc>
          <w:tcPr>
            <w:tcW w:type="dxa" w:w="3216"/>
            <w:shd w:fill="FFFFFF"/>
            <w:tcMar>
              <w:top w:w="70" w:type="dxa"/>
              <w:bottom w:w="70" w:type="dxa"/>
              <w:left w:w="110" w:type="dxa"/>
              <w:right w:w="110" w:type="dxa"/>
            </w:tcMar>
          </w:tcPr>
          <w:p>
            <w:pPr>
              <w:bidi w:val="1"/>
              <w:jc w:val="right"/>
            </w:pPr>
            <w:r>
              <w:rPr>
                <w:rFonts w:ascii="Cairo" w:hAnsi="Cairo"/>
                <w:b/>
                <w:color w:val="0066FF"/>
                <w:sz w:val="19"/>
              </w:rPr>
              <w:t>Sync Offline</w:t>
            </w:r>
          </w:p>
        </w:tc>
        <w:tc>
          <w:tcPr>
            <w:tcW w:type="dxa" w:w="3216"/>
            <w:shd w:fill="FFFFFF"/>
            <w:tcMar>
              <w:top w:w="70" w:type="dxa"/>
              <w:bottom w:w="70" w:type="dxa"/>
              <w:left w:w="110" w:type="dxa"/>
              <w:right w:w="110" w:type="dxa"/>
            </w:tcMar>
          </w:tcPr>
          <w:p>
            <w:pPr>
              <w:bidi w:val="1"/>
              <w:jc w:val="right"/>
            </w:pPr>
            <w:r>
              <w:rPr>
                <w:rFonts w:ascii="Cairo" w:hAnsi="Cairo"/>
                <w:color w:val="1E293B"/>
                <w:sz w:val="19"/>
              </w:rPr>
              <w:t>مزامنة بيانات عدم الاتصال</w:t>
            </w:r>
          </w:p>
        </w:tc>
        <w:tc>
          <w:tcPr>
            <w:tcW w:type="dxa" w:w="3216"/>
            <w:shd w:fill="FFFFFF"/>
            <w:tcMar>
              <w:top w:w="70" w:type="dxa"/>
              <w:bottom w:w="70" w:type="dxa"/>
              <w:left w:w="110" w:type="dxa"/>
              <w:right w:w="110" w:type="dxa"/>
            </w:tcMar>
          </w:tcPr>
          <w:p>
            <w:pPr>
              <w:bidi w:val="1"/>
              <w:jc w:val="right"/>
            </w:pPr>
            <w:r>
              <w:rPr>
                <w:rFonts w:ascii="Cairo" w:hAnsi="Cairo"/>
                <w:color w:val="1E293B"/>
                <w:sz w:val="19"/>
              </w:rPr>
              <w:t>حفظ بيانات الزيارات في وضع عدم الاتصال وتحديثها تلقائياً</w:t>
            </w:r>
          </w:p>
        </w:tc>
      </w:tr>
    </w:tbl>
    <w:sectPr w:rsidR="00FC693F" w:rsidRPr="0006063C" w:rsidSect="00034616">
      <w:headerReference w:type="default" r:id="rId9"/>
      <w:footerReference w:type="default" r:id="rId10"/>
      <w:pgSz w:w="12240" w:h="15840"/>
      <w:pgMar w:top="1296" w:right="1296" w:bottom="1296" w:left="1296"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bidi w:val="1"/>
      <w:jc w:val="right"/>
    </w:pPr>
    <w:r>
      <w:rPr>
        <w:rFonts w:ascii="Cairo" w:hAnsi="Cairo"/>
        <w:color w:val="64748B"/>
        <w:sz w:val="17"/>
      </w:rPr>
      <w:t>شبكة صحة اليمن السيادية © 2026 — البوابة الميدانية https://yemenhealthos.com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bidi w:val="1"/>
      <w:jc w:val="right"/>
    </w:pPr>
    <w:r>
      <w:rPr>
        <w:rFonts w:ascii="Cairo" w:hAnsi="Cairo"/>
        <w:color w:val="64748B"/>
        <w:sz w:val="17"/>
      </w:rPr>
      <w:t>منظومة مندوبي الميدانية والتسويق الطبي B2B | الدليل التشغيلي المعتمد v1.1.2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