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1.pn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600" w:after="240"/>
        <w:jc w:val="center"/>
      </w:pPr>
      <w:r>
        <w:drawing>
          <wp:inline xmlns:a="http://schemas.openxmlformats.org/drawingml/2006/main" xmlns:pic="http://schemas.openxmlformats.org/drawingml/2006/picture">
            <wp:extent cx="2377440" cy="23774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23774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bidi w:val="1"/>
        <w:spacing w:after="120"/>
        <w:jc w:val="center"/>
      </w:pPr>
      <w:r>
        <w:rPr>
          <w:rFonts w:ascii="Cairo" w:hAnsi="Cairo"/>
          <w:b/>
          <w:color w:val="2E1065"/>
          <w:sz w:val="46"/>
        </w:rPr>
        <w:t>الدليل التشغيلي المرجعي لمختبرات المستشفيات وبنوك الدم</w:t>
      </w:r>
    </w:p>
    <w:p>
      <w:pPr>
        <w:bidi w:val="1"/>
        <w:spacing w:after="400"/>
        <w:jc w:val="center"/>
      </w:pPr>
      <w:r>
        <w:rPr>
          <w:rFonts w:ascii="Outfit" w:hAnsi="Outfit"/>
          <w:b/>
          <w:color w:val="4C1D95"/>
          <w:sz w:val="26"/>
        </w:rPr>
        <w:t xml:space="preserve">Nexus Lab </w:t>
      </w:r>
      <w:r>
        <w:rPr>
          <w:rFonts w:ascii="Cairo" w:hAnsi="Cairo"/>
          <w:color w:val="0088FE"/>
          <w:sz w:val="24"/>
        </w:rPr>
        <w:t>| نيكسوس لاب — سحب العينات عند السرير PPID، فحوصات الطوارئ STAT، بنك الدم، والربط الآلي</w:t>
      </w:r>
    </w:p>
    <w:tbl>
      <w:tblPr>
        <w:tblW w:type="auto" w:w="0"/>
        <w:jc w:val="center"/>
        <w:tblLook w:firstColumn="1" w:firstRow="1" w:lastColumn="0" w:lastRow="0" w:noHBand="0" w:noVBand="1" w:val="04A0"/>
        <w:bidiVisual/>
      </w:tblPr>
      <w:tblGrid>
        <w:gridCol w:w="4824"/>
        <w:gridCol w:w="4824"/>
      </w:tblGrid>
      <w:tr>
        <w:tc>
          <w:tcPr>
            <w:tcW w:type="dxa" w:w="4824"/>
            <w:shd w:fill="F5F3FF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2E1065"/>
                <w:sz w:val="20"/>
              </w:rPr>
              <w:t>الإصدار البرمجي المعتمد:</w:t>
            </w:r>
          </w:p>
        </w:tc>
        <w:tc>
          <w:tcPr>
            <w:tcW w:type="dxa" w:w="4824"/>
            <w:shd w:fill="FFFFFF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1E293B"/>
                <w:sz w:val="19"/>
              </w:rPr>
              <w:t>v1.1.2 Inpatient Laboratory Suite</w:t>
            </w:r>
          </w:p>
        </w:tc>
      </w:tr>
      <w:tr>
        <w:tc>
          <w:tcPr>
            <w:tcW w:type="dxa" w:w="4824"/>
            <w:shd w:fill="F5F3FF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2E1065"/>
                <w:sz w:val="20"/>
              </w:rPr>
              <w:t>المنظومة الأم الحاضنة:</w:t>
            </w:r>
          </w:p>
        </w:tc>
        <w:tc>
          <w:tcPr>
            <w:tcW w:type="dxa" w:w="4824"/>
            <w:shd w:fill="FFFFFF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1E293B"/>
                <w:sz w:val="19"/>
              </w:rPr>
              <w:t>منظومة صحة اليمن السيادية (Yemen Health OS)</w:t>
            </w:r>
          </w:p>
        </w:tc>
      </w:tr>
      <w:tr>
        <w:tc>
          <w:tcPr>
            <w:tcW w:type="dxa" w:w="4824"/>
            <w:shd w:fill="F5F3FF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2E1065"/>
                <w:sz w:val="20"/>
              </w:rPr>
              <w:t>البوابة الإلكترونية المباشرة:</w:t>
            </w:r>
          </w:p>
        </w:tc>
        <w:tc>
          <w:tcPr>
            <w:tcW w:type="dxa" w:w="4824"/>
            <w:shd w:fill="FFFFFF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1E293B"/>
                <w:sz w:val="19"/>
              </w:rPr>
              <w:t>https://yemenhealthos.com/ar/hospital/labs/pending/</w:t>
            </w:r>
          </w:p>
        </w:tc>
      </w:tr>
      <w:tr>
        <w:tc>
          <w:tcPr>
            <w:tcW w:type="dxa" w:w="4824"/>
            <w:shd w:fill="F5F3FF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2E1065"/>
                <w:sz w:val="20"/>
              </w:rPr>
              <w:t>معايير الامتثال والجودة:</w:t>
            </w:r>
          </w:p>
        </w:tc>
        <w:tc>
          <w:tcPr>
            <w:tcW w:type="dxa" w:w="4824"/>
            <w:shd w:fill="FFFFFF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1E293B"/>
                <w:sz w:val="19"/>
              </w:rPr>
              <w:t>معايير الاعتماد الدولي CAP, CLIA, JCI, ISO-15189, ISBT-128</w:t>
            </w:r>
          </w:p>
        </w:tc>
      </w:tr>
    </w:tbl>
    <w:p>
      <w:r>
        <w:br w:type="page"/>
      </w:r>
    </w:p>
    <w:p>
      <w:pPr>
        <w:bidi w:val="1"/>
        <w:jc w:val="right"/>
      </w:pPr>
      <w:r>
        <w:rPr>
          <w:rFonts w:ascii="Cairo" w:hAnsi="Cairo"/>
          <w:b/>
          <w:color w:val="2E1065"/>
          <w:sz w:val="32"/>
        </w:rPr>
        <w:t>فهرس أجنحة مختبر المستشفى العشرة (Hospital LIS Modules Overview)</w:t>
      </w:r>
    </w:p>
    <w:tbl>
      <w:tblPr>
        <w:tblW w:type="auto" w:w="0"/>
        <w:jc w:val="center"/>
        <w:tblLook w:firstColumn="1" w:firstRow="1" w:lastColumn="0" w:lastRow="0" w:noHBand="0" w:noVBand="1" w:val="04A0"/>
        <w:bidiVisual/>
      </w:tblPr>
      <w:tblGrid>
        <w:gridCol w:w="4824"/>
        <w:gridCol w:w="4824"/>
      </w:tblGrid>
      <w:tr>
        <w:tc>
          <w:tcPr>
            <w:tcW w:type="dxa" w:w="4824"/>
            <w:shd w:fill="2E1065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FFFFFF"/>
              </w:rPr>
              <w:t>الجناح السريري / الموديول</w:t>
            </w:r>
          </w:p>
        </w:tc>
        <w:tc>
          <w:tcPr>
            <w:tcW w:type="dxa" w:w="4824"/>
            <w:shd w:fill="2E1065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FFFFFF"/>
              </w:rPr>
              <w:t>نطاق العمل المخبري والاستشفائي</w:t>
            </w:r>
          </w:p>
        </w:tc>
      </w:tr>
      <w:tr>
        <w:tc>
          <w:tcPr>
            <w:tcW w:type="dxa" w:w="4824"/>
            <w:shd w:fill="FFFFFF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4C1D95"/>
              </w:rPr>
              <w:t>الموديول 1</w:t>
            </w:r>
          </w:p>
        </w:tc>
        <w:tc>
          <w:tcPr>
            <w:tcW w:type="dxa" w:w="4824"/>
            <w:shd w:fill="FFFFFF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1E293B"/>
                <w:sz w:val="19"/>
              </w:rPr>
              <w:t>مركز القيادة ورادار طلبات التنويم والطوارئ STAT (Inpatient &amp; STAT Command Center)</w:t>
            </w:r>
          </w:p>
        </w:tc>
      </w:tr>
      <w:tr>
        <w:tc>
          <w:tcPr>
            <w:tcW w:type="dxa" w:w="4824"/>
            <w:shd w:fill="F5F3FF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4C1D95"/>
              </w:rPr>
              <w:t>الموديول 2</w:t>
            </w:r>
          </w:p>
        </w:tc>
        <w:tc>
          <w:tcPr>
            <w:tcW w:type="dxa" w:w="4824"/>
            <w:shd w:fill="F5F3FF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1E293B"/>
                <w:sz w:val="19"/>
              </w:rPr>
              <w:t>سحب العينات عند السرير وأساور المرضى الذكية (Bedside PPID &amp; Wristband Engine)</w:t>
            </w:r>
          </w:p>
        </w:tc>
      </w:tr>
      <w:tr>
        <w:tc>
          <w:tcPr>
            <w:tcW w:type="dxa" w:w="4824"/>
            <w:shd w:fill="FFFFFF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4C1D95"/>
              </w:rPr>
              <w:t>الموديول 3</w:t>
            </w:r>
          </w:p>
        </w:tc>
        <w:tc>
          <w:tcPr>
            <w:tcW w:type="dxa" w:w="4824"/>
            <w:shd w:fill="FFFFFF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1E293B"/>
                <w:sz w:val="19"/>
              </w:rPr>
              <w:t>الربط الآلي ثنائي الاتجاه بأجهزة التحليل (Bi-Directional ASTM 1394-E / HL7)</w:t>
            </w:r>
          </w:p>
        </w:tc>
      </w:tr>
      <w:tr>
        <w:tc>
          <w:tcPr>
            <w:tcW w:type="dxa" w:w="4824"/>
            <w:shd w:fill="F5F3FF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4C1D95"/>
              </w:rPr>
              <w:t>الموديول 4</w:t>
            </w:r>
          </w:p>
        </w:tc>
        <w:tc>
          <w:tcPr>
            <w:tcW w:type="dxa" w:w="4824"/>
            <w:shd w:fill="F5F3FF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1E293B"/>
                <w:sz w:val="19"/>
              </w:rPr>
              <w:t>إنذارات القيم الحرجة وإغلاق دائرة التبليغ مع العناية والعمليات (Closed-Loop Panic Loop)</w:t>
            </w:r>
          </w:p>
        </w:tc>
      </w:tr>
      <w:tr>
        <w:tc>
          <w:tcPr>
            <w:tcW w:type="dxa" w:w="4824"/>
            <w:shd w:fill="FFFFFF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4C1D95"/>
              </w:rPr>
              <w:t>الموديول 5</w:t>
            </w:r>
          </w:p>
        </w:tc>
        <w:tc>
          <w:tcPr>
            <w:tcW w:type="dxa" w:w="4824"/>
            <w:shd w:fill="FFFFFF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1E293B"/>
                <w:sz w:val="19"/>
              </w:rPr>
              <w:t>محطة التحليل والمطابقة المباشرة والتخفيف وفحص دلتا (Analytical Workbench &amp; Delta Check)</w:t>
            </w:r>
          </w:p>
        </w:tc>
      </w:tr>
      <w:tr>
        <w:tc>
          <w:tcPr>
            <w:tcW w:type="dxa" w:w="4824"/>
            <w:shd w:fill="F5F3FF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4C1D95"/>
              </w:rPr>
              <w:t>الموديول 6</w:t>
            </w:r>
          </w:p>
        </w:tc>
        <w:tc>
          <w:tcPr>
            <w:tcW w:type="dxa" w:w="4824"/>
            <w:shd w:fill="F5F3FF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1E293B"/>
                <w:sz w:val="19"/>
              </w:rPr>
              <w:t>بنك الدم السريري، المطابقة وبروتوكول الحوادث الكبرى MTP (Clinical Blood Bank &amp; MTP)</w:t>
            </w:r>
          </w:p>
        </w:tc>
      </w:tr>
      <w:tr>
        <w:tc>
          <w:tcPr>
            <w:tcW w:type="dxa" w:w="4824"/>
            <w:shd w:fill="FFFFFF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4C1D95"/>
              </w:rPr>
              <w:t>الموديول 7</w:t>
            </w:r>
          </w:p>
        </w:tc>
        <w:tc>
          <w:tcPr>
            <w:tcW w:type="dxa" w:w="4824"/>
            <w:shd w:fill="FFFFFF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1E293B"/>
                <w:sz w:val="19"/>
              </w:rPr>
              <w:t>الرقابة الحرارية لحاضنات الصفائح وحمامات البلازما (Cold-Chain IoT Telemetry)</w:t>
            </w:r>
          </w:p>
        </w:tc>
      </w:tr>
      <w:tr>
        <w:tc>
          <w:tcPr>
            <w:tcW w:type="dxa" w:w="4824"/>
            <w:shd w:fill="F5F3FF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4C1D95"/>
              </w:rPr>
              <w:t>الموديول 8</w:t>
            </w:r>
          </w:p>
        </w:tc>
        <w:tc>
          <w:tcPr>
            <w:tcW w:type="dxa" w:w="4824"/>
            <w:shd w:fill="F5F3FF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1E293B"/>
                <w:sz w:val="19"/>
              </w:rPr>
              <w:t>المزارع وترصد العدوى المكتسبة بالمشافي (Hospital Microbiology &amp; AMR Surveillance)</w:t>
            </w:r>
          </w:p>
        </w:tc>
      </w:tr>
      <w:tr>
        <w:tc>
          <w:tcPr>
            <w:tcW w:type="dxa" w:w="4824"/>
            <w:shd w:fill="FFFFFF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4C1D95"/>
              </w:rPr>
              <w:t>الموديول 9</w:t>
            </w:r>
          </w:p>
        </w:tc>
        <w:tc>
          <w:tcPr>
            <w:tcW w:type="dxa" w:w="4824"/>
            <w:shd w:fill="FFFFFF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1E293B"/>
                <w:sz w:val="19"/>
              </w:rPr>
              <w:t>التشخيص النسيجي والخزعات الجراحية والشرائح الرقمية (Surgical Pathology &amp; WSI)</w:t>
            </w:r>
          </w:p>
        </w:tc>
      </w:tr>
      <w:tr>
        <w:tc>
          <w:tcPr>
            <w:tcW w:type="dxa" w:w="4824"/>
            <w:shd w:fill="F5F3FF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4C1D95"/>
              </w:rPr>
              <w:t>الموديول 10</w:t>
            </w:r>
          </w:p>
        </w:tc>
        <w:tc>
          <w:tcPr>
            <w:tcW w:type="dxa" w:w="4824"/>
            <w:shd w:fill="F5F3FF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1E293B"/>
                <w:sz w:val="19"/>
              </w:rPr>
              <w:t>الفاتورة الموحدة ومراكز تكلفة العنابر وتدقيق التأمين (Inpatient RCM &amp; Claims Scrubber)</w:t>
            </w:r>
          </w:p>
        </w:tc>
      </w:tr>
    </w:tbl>
    <w:p>
      <w:pPr>
        <w:spacing w:after="280"/>
      </w:pPr>
    </w:p>
    <w:tbl>
      <w:tblPr>
        <w:tblW w:type="auto" w:w="0"/>
        <w:jc w:val="center"/>
        <w:tblLook w:firstColumn="1" w:firstRow="1" w:lastColumn="0" w:lastRow="0" w:noHBand="0" w:noVBand="1" w:val="04A0"/>
        <w:bidiVisual/>
      </w:tblPr>
      <w:tblGrid>
        <w:gridCol w:w="9648"/>
      </w:tblGrid>
      <w:tr>
        <w:tc>
          <w:tcPr>
            <w:tcW w:type="dxa" w:w="9648"/>
            <w:shd w:fill="F5F3FF"/>
            <w:tcMar>
              <w:top w:w="160" w:type="dxa"/>
              <w:bottom w:w="160" w:type="dxa"/>
              <w:left w:w="240" w:type="dxa"/>
              <w:right w:w="240" w:type="dxa"/>
            </w:tcMar>
            <w:tcBorders>
              <w:top w:val="none"/>
              <w:left w:val="none"/>
              <w:bottom w:val="none"/>
              <w:right w:val="single" w:sz="36" w:space="0" w:color="0088FE"/>
            </w:tcBorders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2E1065"/>
                <w:sz w:val="22"/>
              </w:rPr>
              <w:t>💎 رسالة الاستجابة الطبية الفائقة وسلامة المريض المنوم:</w:t>
              <w:br/>
            </w:r>
            <w:r>
              <w:rPr>
                <w:rFonts w:ascii="Cairo" w:hAnsi="Cairo"/>
                <w:color w:val="1E293B"/>
                <w:sz w:val="19"/>
              </w:rPr>
              <w:t>صُممت منظومة نيكسوس لاب لتكون شريان الحياة الحقيقي داخل المستشفى؛ تربط سرير المريض المنوم وقمرة العمليات بمحطات التحليل الآلية وبنك الدم ISBT-128، وتضمن إصدار نتائج الفحوصات الإسعافية STAT وصرف الدم المنقذ للحياة في أسرع وقت مع الصفر المطلق في الأخطاء العينية.</w:t>
            </w:r>
          </w:p>
        </w:tc>
      </w:tr>
    </w:tbl>
    <w:p>
      <w:pPr>
        <w:spacing w:before="80" w:after="120"/>
      </w:pPr>
    </w:p>
    <w:p>
      <w:r>
        <w:br w:type="page"/>
      </w:r>
    </w:p>
    <w:p>
      <w:pPr>
        <w:bidi w:val="1"/>
        <w:spacing w:before="320" w:after="80"/>
        <w:jc w:val="right"/>
      </w:pPr>
      <w:r>
        <w:rPr>
          <w:rFonts w:ascii="Cairo" w:hAnsi="Cairo"/>
          <w:b/>
          <w:color w:val="4C1D95"/>
          <w:sz w:val="27"/>
        </w:rPr>
        <w:t xml:space="preserve">الموديول 1: </w:t>
      </w:r>
      <w:r>
        <w:rPr>
          <w:rFonts w:ascii="Cairo" w:hAnsi="Cairo"/>
          <w:b/>
          <w:color w:val="2E1065"/>
          <w:sz w:val="27"/>
        </w:rPr>
        <w:t>مركز القيادة ورادار طلبات التنويم والطوارئ STAT (Inpatient &amp; STAT Command Center)</w:t>
      </w:r>
    </w:p>
    <w:p>
      <w:pPr>
        <w:bidi w:val="1"/>
        <w:spacing w:after="160"/>
        <w:jc w:val="right"/>
      </w:pPr>
      <w:r>
        <w:rPr>
          <w:rFonts w:ascii="Cairo" w:hAnsi="Cairo"/>
          <w:color w:val="1E293B"/>
          <w:sz w:val="20"/>
        </w:rPr>
        <w:t>لوحة سيطرة سريرية تفصل طلبات الطوارئ وعنابر التنويم والعناية المركزة، مع مراقبة حية للمؤقت التنازلي لإنجاز الفحوصات الحرجة ومنع أي تأخير يهدد حياة المريض.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1E293B"/>
          <w:sz w:val="19"/>
        </w:rPr>
        <w:t>طابور الفرز اللحظي الموحد: عزل طلبات الطوارئ STAT تلقائياً في رأس القوائم عبر /hospital/labs/pending/ مع مؤقت إنجاز أقصاه 60 دقيقة.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1E293B"/>
          <w:sz w:val="19"/>
        </w:rPr>
        <w:t>التنبيه المبكر بخطر تجاوز الوقت (TAT Breach Predictor): خوارزمية استباقية تتنبأ باحتمالية تأخر نتيجة فحص الطوارئ وترسل إنذاراً للمشرف.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1E293B"/>
          <w:sz w:val="19"/>
        </w:rPr>
        <w:t>الربط السريري بالسرير والعنبر: استعراض تشخيص الدخول للمريض المنوم وموقع سريره وعنبره لتوفير سياق طبي كامل لفني المختبر.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1E293B"/>
          <w:sz w:val="19"/>
        </w:rPr>
        <w:t>محطة الطرد المركزي السريع المتوازن: توجيه عينات السيروم الإسعافية مباشرة لموازنة الروتور وتشغيل السنترفيوج عبر /lis/workflow/centrifuge-batch/.</w:t>
      </w:r>
    </w:p>
    <w:p>
      <w:pPr>
        <w:bidi w:val="1"/>
        <w:spacing w:before="120" w:after="240"/>
        <w:jc w:val="right"/>
      </w:pPr>
      <w:r>
        <w:rPr>
          <w:rFonts w:ascii="Cairo" w:hAnsi="Cairo"/>
          <w:b/>
          <w:color w:val="2E1065"/>
          <w:sz w:val="18"/>
        </w:rPr>
        <w:t xml:space="preserve">🔗 الرابط التشغيلي المباشر: </w:t>
      </w:r>
      <w:r>
        <w:rPr>
          <w:rFonts w:ascii="Outfit" w:hAnsi="Outfit"/>
          <w:color w:val="0088FE"/>
          <w:sz w:val="18"/>
          <w:u w:val="single"/>
        </w:rPr>
        <w:t>https://yemenhealthos.com/ar/hospital/labs/pending/</w:t>
      </w:r>
    </w:p>
    <w:p>
      <w:pPr>
        <w:bidi w:val="1"/>
        <w:spacing w:before="320" w:after="80"/>
        <w:jc w:val="right"/>
      </w:pPr>
      <w:r>
        <w:rPr>
          <w:rFonts w:ascii="Cairo" w:hAnsi="Cairo"/>
          <w:b/>
          <w:color w:val="4C1D95"/>
          <w:sz w:val="27"/>
        </w:rPr>
        <w:t xml:space="preserve">الموديول 2: </w:t>
      </w:r>
      <w:r>
        <w:rPr>
          <w:rFonts w:ascii="Cairo" w:hAnsi="Cairo"/>
          <w:b/>
          <w:color w:val="2E1065"/>
          <w:sz w:val="27"/>
        </w:rPr>
        <w:t>سحب العينات عند السرير وأساور المرضى الذكية (Bedside PPID &amp; Wristband Engine)</w:t>
      </w:r>
    </w:p>
    <w:p>
      <w:pPr>
        <w:bidi w:val="1"/>
        <w:spacing w:after="160"/>
        <w:jc w:val="right"/>
      </w:pPr>
      <w:r>
        <w:rPr>
          <w:rFonts w:ascii="Cairo" w:hAnsi="Cairo"/>
          <w:color w:val="1E293B"/>
          <w:sz w:val="20"/>
        </w:rPr>
        <w:t>منظومة التحقق الإيجابي من هوية المريض المنوم (Positive Patient ID) عند السرير، مطابقة باركود الأسورة مع أنبوب التحليل، وكشف مؤشرات النزاهة الفوتومترية HIL.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1E293B"/>
          <w:sz w:val="19"/>
        </w:rPr>
        <w:t>المسح المتزامن لأسورة المريض (F2 Bedside Scan): مطابقة إلكترونية بين المريض وأمر السحب الطبي لمنع أي خطأ عيني أو خلط للأنابيب.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1E293B"/>
          <w:sz w:val="19"/>
        </w:rPr>
        <w:t>سحب وقبول الأنابيب المجمعة بنقرة واحدة: توثيق لحظة وساعة السحب بالثانية واسم الممرض عبر api/quick/draw-all/&lt;requisition_id&gt;/.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1E293B"/>
          <w:sz w:val="19"/>
        </w:rPr>
        <w:t>تقييم مؤشرات HIL الفوتومترية: فحص درجات التكسر واليرقان والدهون آلياً لمنع تداخل القراءات الخاطئة في الكيمياء الحيوية.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1E293B"/>
          <w:sz w:val="19"/>
        </w:rPr>
        <w:t>الرفض التلقائي مع السحب البديل: عند تجلط عينة الدم يتم رفض الأنبوب وتوليد ملصق سحب بديل فوراً مع إشعار محطة تمريض العنبر.</w:t>
      </w:r>
    </w:p>
    <w:p>
      <w:pPr>
        <w:bidi w:val="1"/>
        <w:spacing w:before="120" w:after="240"/>
        <w:jc w:val="right"/>
      </w:pPr>
      <w:r>
        <w:rPr>
          <w:rFonts w:ascii="Cairo" w:hAnsi="Cairo"/>
          <w:b/>
          <w:color w:val="2E1065"/>
          <w:sz w:val="18"/>
        </w:rPr>
        <w:t xml:space="preserve">🔗 الرابط التشغيلي المباشر: </w:t>
      </w:r>
      <w:r>
        <w:rPr>
          <w:rFonts w:ascii="Outfit" w:hAnsi="Outfit"/>
          <w:color w:val="0088FE"/>
          <w:sz w:val="18"/>
          <w:u w:val="single"/>
        </w:rPr>
        <w:t>https://yemenhealthos.com/ar/lis/accessioning/station/</w:t>
      </w:r>
    </w:p>
    <w:p>
      <w:pPr>
        <w:bidi w:val="1"/>
        <w:spacing w:before="320" w:after="80"/>
        <w:jc w:val="right"/>
      </w:pPr>
      <w:r>
        <w:rPr>
          <w:rFonts w:ascii="Cairo" w:hAnsi="Cairo"/>
          <w:b/>
          <w:color w:val="4C1D95"/>
          <w:sz w:val="27"/>
        </w:rPr>
        <w:t xml:space="preserve">الموديول 3: </w:t>
      </w:r>
      <w:r>
        <w:rPr>
          <w:rFonts w:ascii="Cairo" w:hAnsi="Cairo"/>
          <w:b/>
          <w:color w:val="2E1065"/>
          <w:sz w:val="27"/>
        </w:rPr>
        <w:t>الربط الآلي ثنائي الاتجاه بأجهزة التحليل (Bi-Directional ASTM 1394-E / HL7)</w:t>
      </w:r>
    </w:p>
    <w:p>
      <w:pPr>
        <w:bidi w:val="1"/>
        <w:spacing w:after="160"/>
        <w:jc w:val="right"/>
      </w:pPr>
      <w:r>
        <w:rPr>
          <w:rFonts w:ascii="Cairo" w:hAnsi="Cairo"/>
          <w:color w:val="1E293B"/>
          <w:sz w:val="20"/>
        </w:rPr>
        <w:t>وسيط برمجي متقدم يدعم الربط المباشر مع أجهزة المستشفيات الآلية الكبرى (Roche Cobas, Abbott Alinity, Beckman Coulter, Sysmex, Mindray, Radiometer ABL) عبر منافذ TCP/IP و RS-232.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1E293B"/>
          <w:sz w:val="19"/>
        </w:rPr>
        <w:t>الاستعلام الآلي ثنائي الاتجاه (Query Mode): بمجرد مسح الجهاز لباركود الأنبوب يستعلم آلياً ويستلم الفحوصات المطلوبة ويبدأ العمل فوراً.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1E293B"/>
          <w:sz w:val="19"/>
        </w:rPr>
        <w:t>استقبال وتفريغ أطر النتائج لحظياً: التقاط أطر ASTM فور خروجها من المحللات وتفريغ القيم ومطابقتها السريرية في ملف المريض المنوم.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1E293B"/>
          <w:sz w:val="19"/>
        </w:rPr>
        <w:t>مصفوفة الفحوصات الانعكاسية (Reflex Rules): تشغيل فحوصات تأكيدية إضافية تلقائياً بناءً على النتائج الأولية عبر /lis/catalogs/reflex-rules/.</w:t>
      </w:r>
    </w:p>
    <w:p>
      <w:pPr>
        <w:bidi w:val="1"/>
        <w:spacing w:before="120" w:after="240"/>
        <w:jc w:val="right"/>
      </w:pPr>
      <w:r>
        <w:rPr>
          <w:rFonts w:ascii="Cairo" w:hAnsi="Cairo"/>
          <w:b/>
          <w:color w:val="2E1065"/>
          <w:sz w:val="18"/>
        </w:rPr>
        <w:t xml:space="preserve">🔗 الرابط التشغيلي المباشر: </w:t>
      </w:r>
      <w:r>
        <w:rPr>
          <w:rFonts w:ascii="Outfit" w:hAnsi="Outfit"/>
          <w:color w:val="0088FE"/>
          <w:sz w:val="18"/>
          <w:u w:val="single"/>
        </w:rPr>
        <w:t>https://yemenhealthos.com/ar/lis/analyzers/</w:t>
      </w:r>
    </w:p>
    <w:p>
      <w:pPr>
        <w:bidi w:val="1"/>
        <w:spacing w:before="320" w:after="80"/>
        <w:jc w:val="right"/>
      </w:pPr>
      <w:r>
        <w:rPr>
          <w:rFonts w:ascii="Cairo" w:hAnsi="Cairo"/>
          <w:b/>
          <w:color w:val="4C1D95"/>
          <w:sz w:val="27"/>
        </w:rPr>
        <w:t xml:space="preserve">الموديول 4: </w:t>
      </w:r>
      <w:r>
        <w:rPr>
          <w:rFonts w:ascii="Cairo" w:hAnsi="Cairo"/>
          <w:b/>
          <w:color w:val="2E1065"/>
          <w:sz w:val="27"/>
        </w:rPr>
        <w:t>إنذارات القيم الحرجة وإغلاق دائرة التبليغ مع العناية والعمليات (Closed-Loop Panic Loop)</w:t>
      </w:r>
    </w:p>
    <w:p>
      <w:pPr>
        <w:bidi w:val="1"/>
        <w:spacing w:after="160"/>
        <w:jc w:val="right"/>
      </w:pPr>
      <w:r>
        <w:rPr>
          <w:rFonts w:ascii="Cairo" w:hAnsi="Cairo"/>
          <w:color w:val="1E293B"/>
          <w:sz w:val="20"/>
        </w:rPr>
        <w:t>بروتوكول صارم متوافق مع معايير CAP و JCI يلزم المختبر بإغلاق دائرة الاتصال وتوثيق القراءة السمعية للنتائج المهددة للحياة هاتفياً مع الفريق المعالج.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1E293B"/>
          <w:sz w:val="19"/>
        </w:rPr>
        <w:t>طابور القيم الحرجة المعلقة: عزل الفحوصات التي تسجل نتائج حرجة (مثل البوتاسيوم &gt; 6.5 أو السكر &lt; 40) في شاشة /lis/workbench/panic-queue/ مع إنذار صوتي.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1E293B"/>
          <w:sz w:val="19"/>
        </w:rPr>
        <w:t>توثيق إعادة القراءة السمعية (Read-Back Confirmation): إلزام الفني بتسجيل اسم طبيب العناية أو التخدير الذي استلم النتيجة وتأكيد استيعابه لها.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1E293B"/>
          <w:sz w:val="19"/>
        </w:rPr>
        <w:t>البث الفوري لشاشات التمريض (FCM Push): إرسال تنبيه عاجل لشاشات العنابر وغرف العمليات بمجرد خروج القيمة الحرجة من الجهاز.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1E293B"/>
          <w:sz w:val="19"/>
        </w:rPr>
        <w:t>سجل التدقيق الزمني القانوني: توثيق دقيق لفارق الدقائق بين صدور النتيجة ولحظة استلام الفريق المعالج للبلاغ الطبي.</w:t>
      </w:r>
    </w:p>
    <w:p>
      <w:pPr>
        <w:bidi w:val="1"/>
        <w:spacing w:before="120" w:after="240"/>
        <w:jc w:val="right"/>
      </w:pPr>
      <w:r>
        <w:rPr>
          <w:rFonts w:ascii="Cairo" w:hAnsi="Cairo"/>
          <w:b/>
          <w:color w:val="2E1065"/>
          <w:sz w:val="18"/>
        </w:rPr>
        <w:t xml:space="preserve">🔗 الرابط التشغيلي المباشر: </w:t>
      </w:r>
      <w:r>
        <w:rPr>
          <w:rFonts w:ascii="Outfit" w:hAnsi="Outfit"/>
          <w:color w:val="0088FE"/>
          <w:sz w:val="18"/>
          <w:u w:val="single"/>
        </w:rPr>
        <w:t>https://yemenhealthos.com/ar/lis/workbench/panic-queue/</w:t>
      </w:r>
    </w:p>
    <w:p>
      <w:pPr>
        <w:bidi w:val="1"/>
        <w:spacing w:before="320" w:after="80"/>
        <w:jc w:val="right"/>
      </w:pPr>
      <w:r>
        <w:rPr>
          <w:rFonts w:ascii="Cairo" w:hAnsi="Cairo"/>
          <w:b/>
          <w:color w:val="4C1D95"/>
          <w:sz w:val="27"/>
        </w:rPr>
        <w:t xml:space="preserve">الموديول 5: </w:t>
      </w:r>
      <w:r>
        <w:rPr>
          <w:rFonts w:ascii="Cairo" w:hAnsi="Cairo"/>
          <w:b/>
          <w:color w:val="2E1065"/>
          <w:sz w:val="27"/>
        </w:rPr>
        <w:t>محطة التحليل والمطابقة المباشرة والتخفيف وفحص دلتا (Analytical Workbench &amp; Delta Check)</w:t>
      </w:r>
    </w:p>
    <w:p>
      <w:pPr>
        <w:bidi w:val="1"/>
        <w:spacing w:after="160"/>
        <w:jc w:val="right"/>
      </w:pPr>
      <w:r>
        <w:rPr>
          <w:rFonts w:ascii="Cairo" w:hAnsi="Cairo"/>
          <w:color w:val="1E293B"/>
          <w:sz w:val="20"/>
        </w:rPr>
        <w:t>بيئة عمل موحدة لتدقيق النتائج المخبرية، كشف القفزات غير الطبيعية عبر فحص دلتا التاريخي للمريض المنوم، وتطبيق معاملات التخفيف التحليلي.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1E293B"/>
          <w:sz w:val="19"/>
        </w:rPr>
        <w:t>فحص دلتا التاريخي (Delta Check Engine): مقارنة النتيجة الجديدة بآخر نتيجة سابقة للمريض وتنبيه الفني عند حدوث تغير حاد ومفاجئ.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1E293B"/>
          <w:sz w:val="19"/>
        </w:rPr>
        <w:t>الاعتماد الآلي للنتائج الطبيعية (F4 Auto-Verify): تدقيق النتائج السليمة الواقعة ضمن النطاق الطبيعي واعتمادها دفعة واحدة في أجزاء من الثانية.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1E293B"/>
          <w:sz w:val="19"/>
        </w:rPr>
        <w:t>تطبيق معامل التخفيف التحليلي (Alt + D Dilution): إعادة احتساب التركيز النهائي بدقة عند تجاوز العينة لحد الجهاز الأعلى (AMR High).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1E293B"/>
          <w:sz w:val="19"/>
        </w:rPr>
        <w:t>المعادلات الرياضية المشتقة: حساب مؤشرات الكولسترول الضار LDL، فجوة الأنيونات Anion Gap، ومعدل الترشيح الكبيبي eGFR آلياً.</w:t>
      </w:r>
    </w:p>
    <w:p>
      <w:pPr>
        <w:bidi w:val="1"/>
        <w:spacing w:before="120" w:after="240"/>
        <w:jc w:val="right"/>
      </w:pPr>
      <w:r>
        <w:rPr>
          <w:rFonts w:ascii="Cairo" w:hAnsi="Cairo"/>
          <w:b/>
          <w:color w:val="2E1065"/>
          <w:sz w:val="18"/>
        </w:rPr>
        <w:t xml:space="preserve">🔗 الرابط التشغيلي المباشر: </w:t>
      </w:r>
      <w:r>
        <w:rPr>
          <w:rFonts w:ascii="Outfit" w:hAnsi="Outfit"/>
          <w:color w:val="0088FE"/>
          <w:sz w:val="18"/>
          <w:u w:val="single"/>
        </w:rPr>
        <w:t>https://yemenhealthos.com/ar/lis/workbench/results/</w:t>
      </w:r>
    </w:p>
    <w:p>
      <w:pPr>
        <w:bidi w:val="1"/>
        <w:spacing w:before="320" w:after="80"/>
        <w:jc w:val="right"/>
      </w:pPr>
      <w:r>
        <w:rPr>
          <w:rFonts w:ascii="Cairo" w:hAnsi="Cairo"/>
          <w:b/>
          <w:color w:val="4C1D95"/>
          <w:sz w:val="27"/>
        </w:rPr>
        <w:t xml:space="preserve">الموديول 6: </w:t>
      </w:r>
      <w:r>
        <w:rPr>
          <w:rFonts w:ascii="Cairo" w:hAnsi="Cairo"/>
          <w:b/>
          <w:color w:val="2E1065"/>
          <w:sz w:val="27"/>
        </w:rPr>
        <w:t>بنك الدم السريري، المطابقة وبروتوكول الحوادث الكبرى MTP (Clinical Blood Bank &amp; MTP)</w:t>
      </w:r>
    </w:p>
    <w:p>
      <w:pPr>
        <w:bidi w:val="1"/>
        <w:spacing w:after="160"/>
        <w:jc w:val="right"/>
      </w:pPr>
      <w:r>
        <w:rPr>
          <w:rFonts w:ascii="Cairo" w:hAnsi="Cairo"/>
          <w:color w:val="1E293B"/>
          <w:sz w:val="20"/>
        </w:rPr>
        <w:t>إدارة دورة أكياس الدم ومشتقاته المرمزة دولياً بنظام ISBT-128، تنفيذ اختبارات التوافق والمطابقة، وصرف وحدات الدم الإسعافي للحوادث الكبرى MTP.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1E293B"/>
          <w:sz w:val="19"/>
        </w:rPr>
        <w:t>مخزون أكياس الدم ISBT-128: تتبع أكياس الدم الكامل، البلازما، والصفائح بالرقم التسلسلي الدولي DIN عبر /lis/bloodbank/inventory/.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1E293B"/>
          <w:sz w:val="19"/>
        </w:rPr>
        <w:t>المطابقة وحجز الأكياس (Crossmatch): تنفيذ اختبارات التوافق الكبرى والصغرى وحجز الوحدات إلكترونياً للمريض لمدة 48 ساعة.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1E293B"/>
          <w:sz w:val="19"/>
        </w:rPr>
        <w:t>صرف الطوارئ والحوادث الكبرى (Alt + B Emergency MTP): صرف وحدات O-Negative / O-Positive غير مطابقة فورياً لإنقاذ حالات النزيف الصاعق.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1E293B"/>
          <w:sz w:val="19"/>
        </w:rPr>
        <w:t>قاعدة الـ 30 دقيقة وسلسلة التبريد: التحقق من درجة حرارة الكيس المرتجع من العمليات وإتلافه تلقائياً في حال زادت مدة خروجه عن 30 دقيقة.</w:t>
      </w:r>
    </w:p>
    <w:p>
      <w:pPr>
        <w:bidi w:val="1"/>
        <w:spacing w:before="120" w:after="240"/>
        <w:jc w:val="right"/>
      </w:pPr>
      <w:r>
        <w:rPr>
          <w:rFonts w:ascii="Cairo" w:hAnsi="Cairo"/>
          <w:b/>
          <w:color w:val="2E1065"/>
          <w:sz w:val="18"/>
        </w:rPr>
        <w:t xml:space="preserve">🔗 الرابط التشغيلي المباشر: </w:t>
      </w:r>
      <w:r>
        <w:rPr>
          <w:rFonts w:ascii="Outfit" w:hAnsi="Outfit"/>
          <w:color w:val="0088FE"/>
          <w:sz w:val="18"/>
          <w:u w:val="single"/>
        </w:rPr>
        <w:t>https://yemenhealthos.com/ar/lis/bloodbank/inventory/</w:t>
      </w:r>
    </w:p>
    <w:p>
      <w:pPr>
        <w:bidi w:val="1"/>
        <w:spacing w:before="320" w:after="80"/>
        <w:jc w:val="right"/>
      </w:pPr>
      <w:r>
        <w:rPr>
          <w:rFonts w:ascii="Cairo" w:hAnsi="Cairo"/>
          <w:b/>
          <w:color w:val="4C1D95"/>
          <w:sz w:val="27"/>
        </w:rPr>
        <w:t xml:space="preserve">الموديول 7: </w:t>
      </w:r>
      <w:r>
        <w:rPr>
          <w:rFonts w:ascii="Cairo" w:hAnsi="Cairo"/>
          <w:b/>
          <w:color w:val="2E1065"/>
          <w:sz w:val="27"/>
        </w:rPr>
        <w:t>الرقابة الحرارية لحاضنات الصفائح وحمامات البلازما (Cold-Chain IoT Telemetry)</w:t>
      </w:r>
    </w:p>
    <w:p>
      <w:pPr>
        <w:bidi w:val="1"/>
        <w:spacing w:after="160"/>
        <w:jc w:val="right"/>
      </w:pPr>
      <w:r>
        <w:rPr>
          <w:rFonts w:ascii="Cairo" w:hAnsi="Cairo"/>
          <w:color w:val="1E293B"/>
          <w:sz w:val="20"/>
        </w:rPr>
        <w:t>رصد لحظي مستمر لأجهزة بنك الدم الحرجة عبر حساسات إنترنت الأشياء IoT، وضمان بيئة التخزين المثالية للصفائح الدموية والبلازما ومخزون الدم.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1E293B"/>
          <w:sz w:val="19"/>
        </w:rPr>
        <w:t>مراقبة رجازات الصفائح (Platelet Agitators): رصد دقيق للحرارة (20.0-24.0°C) وسرعة التقليب (60 RPM) مع إنذار فوري عند توقف المحرك.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1E293B"/>
          <w:sz w:val="19"/>
        </w:rPr>
        <w:t>حمامات إذابة البلازما (Plasma Thawers): مراقبة الحمام المائي عند 37.0°C بدقة لمنع تلف عوامل التخثر الحساسة أثناء إذابة البلازما.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1E293B"/>
          <w:sz w:val="19"/>
        </w:rPr>
        <w:t>حساسات ثلاجات حفظ الدم (2-6°C): قفل القنوات وتجميد صرف الوحدات آلياً عند حدوث أي انحراف حراري لتفادي نقل دم غير صالح.</w:t>
      </w:r>
    </w:p>
    <w:p>
      <w:pPr>
        <w:bidi w:val="1"/>
        <w:spacing w:before="120" w:after="240"/>
        <w:jc w:val="right"/>
      </w:pPr>
      <w:r>
        <w:rPr>
          <w:rFonts w:ascii="Cairo" w:hAnsi="Cairo"/>
          <w:b/>
          <w:color w:val="2E1065"/>
          <w:sz w:val="18"/>
        </w:rPr>
        <w:t xml:space="preserve">🔗 الرابط التشغيلي المباشر: </w:t>
      </w:r>
      <w:r>
        <w:rPr>
          <w:rFonts w:ascii="Outfit" w:hAnsi="Outfit"/>
          <w:color w:val="0088FE"/>
          <w:sz w:val="18"/>
          <w:u w:val="single"/>
        </w:rPr>
        <w:t>https://yemenhealthos.com/ar/lis/bloodbank/devices-telemetry/</w:t>
      </w:r>
    </w:p>
    <w:p>
      <w:pPr>
        <w:bidi w:val="1"/>
        <w:spacing w:before="320" w:after="80"/>
        <w:jc w:val="right"/>
      </w:pPr>
      <w:r>
        <w:rPr>
          <w:rFonts w:ascii="Cairo" w:hAnsi="Cairo"/>
          <w:b/>
          <w:color w:val="4C1D95"/>
          <w:sz w:val="27"/>
        </w:rPr>
        <w:t xml:space="preserve">الموديول 8: </w:t>
      </w:r>
      <w:r>
        <w:rPr>
          <w:rFonts w:ascii="Cairo" w:hAnsi="Cairo"/>
          <w:b/>
          <w:color w:val="2E1065"/>
          <w:sz w:val="27"/>
        </w:rPr>
        <w:t>المزارع وترصد العدوى المكتسبة بالمشافي (Hospital Microbiology &amp; AMR Surveillance)</w:t>
      </w:r>
    </w:p>
    <w:p>
      <w:pPr>
        <w:bidi w:val="1"/>
        <w:spacing w:after="160"/>
        <w:jc w:val="right"/>
      </w:pPr>
      <w:r>
        <w:rPr>
          <w:rFonts w:ascii="Cairo" w:hAnsi="Cairo"/>
          <w:color w:val="1E293B"/>
          <w:sz w:val="20"/>
        </w:rPr>
        <w:t>إدارة عزل الميكروبات المسببة لعدوى المستشفيات (HAIs)، مصفوفة الحساسية للمضادات AST، ودعم برامج مكافحة العدوى والترصد مع WHO WHONET.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1E293B"/>
          <w:sz w:val="19"/>
        </w:rPr>
        <w:t>ورقة عمل المزارع البكتيرية السريرية: متابعة عزلات الدم والبول والجروح وسوائل العمليات والتعرف على البكتيريا عبر /lis/microbiology/worksheet/.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1E293B"/>
          <w:sz w:val="19"/>
        </w:rPr>
        <w:t>قياس هالة كيربي-باور (Kirby-Bauer Caliper): تسجيل قطر هالة التثبيط بالمليمتر والتحويل الفوري للتقرير السريري (S / I / R).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1E293B"/>
          <w:sz w:val="19"/>
        </w:rPr>
        <w:t>تقرير الأنتيبايوجرام السنوي للمستشفى: رصد إحصائي لنسب استجابة البكتيريا للمضادات الحيوية لمساعدة أطباء العناية في اختيار العلاج الأنسب.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1E293B"/>
          <w:sz w:val="19"/>
        </w:rPr>
        <w:t>تصدير ترصد منظمة الصحة العالمية (WHO WHONET): استخراج ملفات الرصد الوبائي BacLink لدعم مراقبة البكتيريا المقاومة متعددة الأدوية MDRO.</w:t>
      </w:r>
    </w:p>
    <w:p>
      <w:pPr>
        <w:bidi w:val="1"/>
        <w:spacing w:before="120" w:after="240"/>
        <w:jc w:val="right"/>
      </w:pPr>
      <w:r>
        <w:rPr>
          <w:rFonts w:ascii="Cairo" w:hAnsi="Cairo"/>
          <w:b/>
          <w:color w:val="2E1065"/>
          <w:sz w:val="18"/>
        </w:rPr>
        <w:t xml:space="preserve">🔗 الرابط التشغيلي المباشر: </w:t>
      </w:r>
      <w:r>
        <w:rPr>
          <w:rFonts w:ascii="Outfit" w:hAnsi="Outfit"/>
          <w:color w:val="0088FE"/>
          <w:sz w:val="18"/>
          <w:u w:val="single"/>
        </w:rPr>
        <w:t>https://yemenhealthos.com/ar/lis/microbiology/worksheet/</w:t>
      </w:r>
    </w:p>
    <w:p>
      <w:pPr>
        <w:bidi w:val="1"/>
        <w:spacing w:before="320" w:after="80"/>
        <w:jc w:val="right"/>
      </w:pPr>
      <w:r>
        <w:rPr>
          <w:rFonts w:ascii="Cairo" w:hAnsi="Cairo"/>
          <w:b/>
          <w:color w:val="4C1D95"/>
          <w:sz w:val="27"/>
        </w:rPr>
        <w:t xml:space="preserve">الموديول 9: </w:t>
      </w:r>
      <w:r>
        <w:rPr>
          <w:rFonts w:ascii="Cairo" w:hAnsi="Cairo"/>
          <w:b/>
          <w:color w:val="2E1065"/>
          <w:sz w:val="27"/>
        </w:rPr>
        <w:t>التشخيص النسيجي والخزعات الجراحية والشرائح الرقمية (Surgical Pathology &amp; WSI)</w:t>
      </w:r>
    </w:p>
    <w:p>
      <w:pPr>
        <w:bidi w:val="1"/>
        <w:spacing w:after="160"/>
        <w:jc w:val="right"/>
      </w:pPr>
      <w:r>
        <w:rPr>
          <w:rFonts w:ascii="Cairo" w:hAnsi="Cairo"/>
          <w:color w:val="1E293B"/>
          <w:sz w:val="20"/>
        </w:rPr>
        <w:t>تتبع الخزعات الجراحية من غرف العمليات وحتى كاسيتات الشمع، تشخيص الخزعات السريعة أثناء الجراحة (Frozen Section)، وفحص الشرائح الرقمية 40x.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1E293B"/>
          <w:sz w:val="19"/>
        </w:rPr>
        <w:t>سجل تتبع الخزعة الجراحية الكامل: إدارة مسار العينة النسيجية (المطابقة ➔ التقطيع ➔ كاسيتات الشمع ➔ الصبغ ➔ القراءة والاعتماد).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1E293B"/>
          <w:sz w:val="19"/>
        </w:rPr>
        <w:t>خزعات العمليات السريعة (Frozen Sections): إبلاغ الجراح بنتيجة أمان حواف الاستئصال والمريض تحت التخدير خلال أقل من 20 دقيقة.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1E293B"/>
          <w:sz w:val="19"/>
        </w:rPr>
        <w:t>مستعرض الشرائح الرقمية (WSI Viewer): تكبير الشرائح الرقمية بدقة 40x وتطبيق علامات صبغات المناعة النسيجية IHC (ER, PR, HER2).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1E293B"/>
          <w:sz w:val="19"/>
        </w:rPr>
        <w:t>الاعتماد والتوقيع النهائي المقفل: توقيع استشاري الأنسجة إلكترونياً ونشر التقرير فوراً في ملف المريض المنوم وسجل العمليات.</w:t>
      </w:r>
    </w:p>
    <w:p>
      <w:pPr>
        <w:bidi w:val="1"/>
        <w:spacing w:before="120" w:after="240"/>
        <w:jc w:val="right"/>
      </w:pPr>
      <w:r>
        <w:rPr>
          <w:rFonts w:ascii="Cairo" w:hAnsi="Cairo"/>
          <w:b/>
          <w:color w:val="2E1065"/>
          <w:sz w:val="18"/>
        </w:rPr>
        <w:t xml:space="preserve">🔗 الرابط التشغيلي المباشر: </w:t>
      </w:r>
      <w:r>
        <w:rPr>
          <w:rFonts w:ascii="Outfit" w:hAnsi="Outfit"/>
          <w:color w:val="0088FE"/>
          <w:sz w:val="18"/>
          <w:u w:val="single"/>
        </w:rPr>
        <w:t>https://yemenhealthos.com/ar/lis/pathology/cases/</w:t>
      </w:r>
    </w:p>
    <w:p>
      <w:pPr>
        <w:bidi w:val="1"/>
        <w:spacing w:before="320" w:after="80"/>
        <w:jc w:val="right"/>
      </w:pPr>
      <w:r>
        <w:rPr>
          <w:rFonts w:ascii="Cairo" w:hAnsi="Cairo"/>
          <w:b/>
          <w:color w:val="4C1D95"/>
          <w:sz w:val="27"/>
        </w:rPr>
        <w:t xml:space="preserve">الموديول 10: </w:t>
      </w:r>
      <w:r>
        <w:rPr>
          <w:rFonts w:ascii="Cairo" w:hAnsi="Cairo"/>
          <w:b/>
          <w:color w:val="2E1065"/>
          <w:sz w:val="27"/>
        </w:rPr>
        <w:t>الفاتورة الموحدة ومراكز تكلفة العنابر وتدقيق التأمين (Inpatient RCM &amp; Claims Scrubber)</w:t>
      </w:r>
    </w:p>
    <w:p>
      <w:pPr>
        <w:bidi w:val="1"/>
        <w:spacing w:after="160"/>
        <w:jc w:val="right"/>
      </w:pPr>
      <w:r>
        <w:rPr>
          <w:rFonts w:ascii="Cairo" w:hAnsi="Cairo"/>
          <w:color w:val="1E293B"/>
          <w:sz w:val="20"/>
        </w:rPr>
        <w:t>إسقاط رسوم الفحوصات المخبرية تلقائياً في فاتورة التنويم المجمعة، مطابقة الأكواد المخبرية CPT مع التشخيص الطبي ICD-10، ومنع تسريب الإيرادات.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1E293B"/>
          <w:sz w:val="19"/>
        </w:rPr>
        <w:t>الإسقاط الآلي في الفاتورة المجمعة: قيد رسوم أي فحص مخبري منجز فورياً كبند غير مسدد في فاتورة إقامة المريض بالمستشفى.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1E293B"/>
          <w:sz w:val="19"/>
        </w:rPr>
        <w:t>فاحص المطالبات التأمينية (Pre-Billing Scrubber): فحص تطابق كود الفحص المخبري مع التشخيص الطبي المسجل لمنع رفض شركات التأمين.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1E293B"/>
          <w:sz w:val="19"/>
        </w:rPr>
        <w:t>ربط مراكز التكلفة المحاسبية (Cost Centers): ترحيل إيرادات ومصروفات كواشف ومحاليل العنابر لحسابات الأستاذ العام بنظام القيد المزدوج.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1E293B"/>
          <w:sz w:val="19"/>
        </w:rPr>
        <w:t>منافيست العينات المحولة خارجياً (Send-Out Manifests): تتبع الفحوصات التخصصية المرسلة للمختبرات المرجعية ومتابعة نتائجها وتكلفتها عبر /lis/logistics/outsource-manifests/.</w:t>
      </w:r>
    </w:p>
    <w:p>
      <w:pPr>
        <w:bidi w:val="1"/>
        <w:spacing w:before="120" w:after="240"/>
        <w:jc w:val="right"/>
      </w:pPr>
      <w:r>
        <w:rPr>
          <w:rFonts w:ascii="Cairo" w:hAnsi="Cairo"/>
          <w:b/>
          <w:color w:val="2E1065"/>
          <w:sz w:val="18"/>
        </w:rPr>
        <w:t xml:space="preserve">🔗 الرابط التشغيلي المباشر: </w:t>
      </w:r>
      <w:r>
        <w:rPr>
          <w:rFonts w:ascii="Outfit" w:hAnsi="Outfit"/>
          <w:color w:val="0088FE"/>
          <w:sz w:val="18"/>
          <w:u w:val="single"/>
        </w:rPr>
        <w:t>https://yemenhealthos.com/ar/lis/finance/fee-schedules/</w:t>
      </w:r>
    </w:p>
    <w:p>
      <w:r>
        <w:br w:type="page"/>
      </w:r>
    </w:p>
    <w:p>
      <w:pPr>
        <w:bidi w:val="1"/>
        <w:spacing w:after="200"/>
        <w:jc w:val="right"/>
      </w:pPr>
      <w:r>
        <w:rPr>
          <w:rFonts w:ascii="Cairo" w:hAnsi="Cairo"/>
          <w:b/>
          <w:color w:val="2E1065"/>
          <w:sz w:val="30"/>
        </w:rPr>
        <w:t>ملحق: اختصارات فني مختبر المستشفى وسرعة الإنجاز (Hospital LIS Hotkeys)</w:t>
      </w:r>
    </w:p>
    <w:tbl>
      <w:tblPr>
        <w:tblW w:type="auto" w:w="0"/>
        <w:jc w:val="center"/>
        <w:tblLook w:firstColumn="1" w:firstRow="1" w:lastColumn="0" w:lastRow="0" w:noHBand="0" w:noVBand="1" w:val="04A0"/>
        <w:bidiVisual/>
      </w:tblPr>
      <w:tblGrid>
        <w:gridCol w:w="3216"/>
        <w:gridCol w:w="3216"/>
        <w:gridCol w:w="3216"/>
      </w:tblGrid>
      <w:tr>
        <w:tc>
          <w:tcPr>
            <w:tcW w:type="dxa" w:w="3216"/>
            <w:shd w:fill="2E1065"/>
            <w:tcMar>
              <w:top w:w="90" w:type="dxa"/>
              <w:bottom w:w="90" w:type="dxa"/>
              <w:left w:w="130" w:type="dxa"/>
              <w:right w:w="13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FFFFFF"/>
              </w:rPr>
              <w:t>مفتاح الاختصار (HotKey)</w:t>
            </w:r>
          </w:p>
        </w:tc>
        <w:tc>
          <w:tcPr>
            <w:tcW w:type="dxa" w:w="3216"/>
            <w:shd w:fill="2E1065"/>
            <w:tcMar>
              <w:top w:w="90" w:type="dxa"/>
              <w:bottom w:w="90" w:type="dxa"/>
              <w:left w:w="130" w:type="dxa"/>
              <w:right w:w="13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FFFFFF"/>
              </w:rPr>
              <w:t>الوظيفة السريرية</w:t>
            </w:r>
          </w:p>
        </w:tc>
        <w:tc>
          <w:tcPr>
            <w:tcW w:type="dxa" w:w="3216"/>
            <w:shd w:fill="2E1065"/>
            <w:tcMar>
              <w:top w:w="90" w:type="dxa"/>
              <w:bottom w:w="90" w:type="dxa"/>
              <w:left w:w="130" w:type="dxa"/>
              <w:right w:w="13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FFFFFF"/>
              </w:rPr>
              <w:t>الأثر الفوري في النظام</w:t>
            </w:r>
          </w:p>
        </w:tc>
      </w:tr>
      <w:tr>
        <w:tc>
          <w:tcPr>
            <w:tcW w:type="dxa" w:w="3216"/>
            <w:shd w:fill="FFFFFF"/>
            <w:tcMar>
              <w:top w:w="70" w:type="dxa"/>
              <w:bottom w:w="70" w:type="dxa"/>
              <w:left w:w="110" w:type="dxa"/>
              <w:right w:w="11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4C1D95"/>
                <w:sz w:val="19"/>
              </w:rPr>
              <w:t>F2</w:t>
            </w:r>
          </w:p>
        </w:tc>
        <w:tc>
          <w:tcPr>
            <w:tcW w:type="dxa" w:w="3216"/>
            <w:shd w:fill="FFFFFF"/>
            <w:tcMar>
              <w:top w:w="70" w:type="dxa"/>
              <w:bottom w:w="70" w:type="dxa"/>
              <w:left w:w="110" w:type="dxa"/>
              <w:right w:w="11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1E293B"/>
                <w:sz w:val="19"/>
              </w:rPr>
              <w:t>ماسح أساور المرضى عند السرير</w:t>
            </w:r>
          </w:p>
        </w:tc>
        <w:tc>
          <w:tcPr>
            <w:tcW w:type="dxa" w:w="3216"/>
            <w:shd w:fill="FFFFFF"/>
            <w:tcMar>
              <w:top w:w="70" w:type="dxa"/>
              <w:bottom w:w="70" w:type="dxa"/>
              <w:left w:w="110" w:type="dxa"/>
              <w:right w:w="11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1E293B"/>
                <w:sz w:val="19"/>
              </w:rPr>
              <w:t>التحقق الفوري من هوية المريض المنوم وفتح أمر السحب</w:t>
            </w:r>
          </w:p>
        </w:tc>
      </w:tr>
      <w:tr>
        <w:tc>
          <w:tcPr>
            <w:tcW w:type="dxa" w:w="3216"/>
            <w:shd w:fill="F5F3FF"/>
            <w:tcMar>
              <w:top w:w="70" w:type="dxa"/>
              <w:bottom w:w="70" w:type="dxa"/>
              <w:left w:w="110" w:type="dxa"/>
              <w:right w:w="11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4C1D95"/>
                <w:sz w:val="19"/>
              </w:rPr>
              <w:t>F4</w:t>
            </w:r>
          </w:p>
        </w:tc>
        <w:tc>
          <w:tcPr>
            <w:tcW w:type="dxa" w:w="3216"/>
            <w:shd w:fill="F5F3FF"/>
            <w:tcMar>
              <w:top w:w="70" w:type="dxa"/>
              <w:bottom w:w="70" w:type="dxa"/>
              <w:left w:w="110" w:type="dxa"/>
              <w:right w:w="11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1E293B"/>
                <w:sz w:val="19"/>
              </w:rPr>
              <w:t>الاعتماد السريع للطبيعي</w:t>
            </w:r>
          </w:p>
        </w:tc>
        <w:tc>
          <w:tcPr>
            <w:tcW w:type="dxa" w:w="3216"/>
            <w:shd w:fill="F5F3FF"/>
            <w:tcMar>
              <w:top w:w="70" w:type="dxa"/>
              <w:bottom w:w="70" w:type="dxa"/>
              <w:left w:w="110" w:type="dxa"/>
              <w:right w:w="11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1E293B"/>
                <w:sz w:val="19"/>
              </w:rPr>
              <w:t>اعتماد كافة الفحوصات المخبرية الطبيعية دفعة واحدة بنقرة زر</w:t>
            </w:r>
          </w:p>
        </w:tc>
      </w:tr>
      <w:tr>
        <w:tc>
          <w:tcPr>
            <w:tcW w:type="dxa" w:w="3216"/>
            <w:shd w:fill="FFFFFF"/>
            <w:tcMar>
              <w:top w:w="70" w:type="dxa"/>
              <w:bottom w:w="70" w:type="dxa"/>
              <w:left w:w="110" w:type="dxa"/>
              <w:right w:w="11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4C1D95"/>
                <w:sz w:val="19"/>
              </w:rPr>
              <w:t>Alt + B</w:t>
            </w:r>
          </w:p>
        </w:tc>
        <w:tc>
          <w:tcPr>
            <w:tcW w:type="dxa" w:w="3216"/>
            <w:shd w:fill="FFFFFF"/>
            <w:tcMar>
              <w:top w:w="70" w:type="dxa"/>
              <w:bottom w:w="70" w:type="dxa"/>
              <w:left w:w="110" w:type="dxa"/>
              <w:right w:w="11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1E293B"/>
                <w:sz w:val="19"/>
              </w:rPr>
              <w:t>صرف دم طوارئ الحوادث MTP</w:t>
            </w:r>
          </w:p>
        </w:tc>
        <w:tc>
          <w:tcPr>
            <w:tcW w:type="dxa" w:w="3216"/>
            <w:shd w:fill="FFFFFF"/>
            <w:tcMar>
              <w:top w:w="70" w:type="dxa"/>
              <w:bottom w:w="70" w:type="dxa"/>
              <w:left w:w="110" w:type="dxa"/>
              <w:right w:w="11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1E293B"/>
                <w:sz w:val="19"/>
              </w:rPr>
              <w:t>إطلاق بروتوكول صرف وحدات الدم غير المطابقة لحالات النزيف الحاد</w:t>
            </w:r>
          </w:p>
        </w:tc>
      </w:tr>
      <w:tr>
        <w:tc>
          <w:tcPr>
            <w:tcW w:type="dxa" w:w="3216"/>
            <w:shd w:fill="F5F3FF"/>
            <w:tcMar>
              <w:top w:w="70" w:type="dxa"/>
              <w:bottom w:w="70" w:type="dxa"/>
              <w:left w:w="110" w:type="dxa"/>
              <w:right w:w="11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4C1D95"/>
                <w:sz w:val="19"/>
              </w:rPr>
              <w:t>Alt + D</w:t>
            </w:r>
          </w:p>
        </w:tc>
        <w:tc>
          <w:tcPr>
            <w:tcW w:type="dxa" w:w="3216"/>
            <w:shd w:fill="F5F3FF"/>
            <w:tcMar>
              <w:top w:w="70" w:type="dxa"/>
              <w:bottom w:w="70" w:type="dxa"/>
              <w:left w:w="110" w:type="dxa"/>
              <w:right w:w="11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1E293B"/>
                <w:sz w:val="19"/>
              </w:rPr>
              <w:t>تطبيق معامل التخفيف التحليلي</w:t>
            </w:r>
          </w:p>
        </w:tc>
        <w:tc>
          <w:tcPr>
            <w:tcW w:type="dxa" w:w="3216"/>
            <w:shd w:fill="F5F3FF"/>
            <w:tcMar>
              <w:top w:w="70" w:type="dxa"/>
              <w:bottom w:w="70" w:type="dxa"/>
              <w:left w:w="110" w:type="dxa"/>
              <w:right w:w="11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1E293B"/>
                <w:sz w:val="19"/>
              </w:rPr>
              <w:t>إعادة احتساب النتيجة النهائية للعينة عند تجاوز النطاق الخطي للجهاز</w:t>
            </w:r>
          </w:p>
        </w:tc>
      </w:tr>
      <w:tr>
        <w:tc>
          <w:tcPr>
            <w:tcW w:type="dxa" w:w="3216"/>
            <w:shd w:fill="FFFFFF"/>
            <w:tcMar>
              <w:top w:w="70" w:type="dxa"/>
              <w:bottom w:w="70" w:type="dxa"/>
              <w:left w:w="110" w:type="dxa"/>
              <w:right w:w="11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4C1D95"/>
                <w:sz w:val="19"/>
              </w:rPr>
              <w:t>Ctrl + P</w:t>
            </w:r>
          </w:p>
        </w:tc>
        <w:tc>
          <w:tcPr>
            <w:tcW w:type="dxa" w:w="3216"/>
            <w:shd w:fill="FFFFFF"/>
            <w:tcMar>
              <w:top w:w="70" w:type="dxa"/>
              <w:bottom w:w="70" w:type="dxa"/>
              <w:left w:w="110" w:type="dxa"/>
              <w:right w:w="11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1E293B"/>
                <w:sz w:val="19"/>
              </w:rPr>
              <w:t>طباعة باركود العينات وسندات الصرف</w:t>
            </w:r>
          </w:p>
        </w:tc>
        <w:tc>
          <w:tcPr>
            <w:tcW w:type="dxa" w:w="3216"/>
            <w:shd w:fill="FFFFFF"/>
            <w:tcMar>
              <w:top w:w="70" w:type="dxa"/>
              <w:bottom w:w="70" w:type="dxa"/>
              <w:left w:w="110" w:type="dxa"/>
              <w:right w:w="11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1E293B"/>
                <w:sz w:val="19"/>
              </w:rPr>
              <w:t>إرسال أوامر الطباعة المباشرة لطابعات أساور المرضى والملصقات ZPL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296" w:right="1296" w:bottom="1296" w:left="1296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bidi w:val="1"/>
      <w:jc w:val="right"/>
    </w:pPr>
    <w:r>
      <w:rPr>
        <w:rFonts w:ascii="Cairo" w:hAnsi="Cairo"/>
        <w:color w:val="64748B"/>
        <w:sz w:val="17"/>
      </w:rPr>
      <w:t>شبكة صحة اليمن السيادية © 2026 — البوابة الرسمية https://yemenhealthos.com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bidi w:val="1"/>
      <w:jc w:val="right"/>
    </w:pPr>
    <w:r>
      <w:rPr>
        <w:rFonts w:ascii="Cairo" w:hAnsi="Cairo"/>
        <w:color w:val="64748B"/>
        <w:sz w:val="17"/>
      </w:rPr>
      <w:t>منظومة نيكسوس لاب لمختبرات المستشفيات وبنوك الدم | الدليل التشغيلي المعتمد v1.1.2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