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720" w:after="280"/>
        <w:jc w:val="center"/>
      </w:pPr>
      <w:r>
        <w:drawing>
          <wp:inline xmlns:a="http://schemas.openxmlformats.org/drawingml/2006/main" xmlns:pic="http://schemas.openxmlformats.org/drawingml/2006/picture">
            <wp:extent cx="2194560" cy="219456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con_padded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94560" cy="21945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bidi w:val="1"/>
        <w:spacing w:after="160"/>
        <w:jc w:val="center"/>
      </w:pPr>
      <w:r>
        <w:rPr>
          <w:rFonts w:ascii="Cairo" w:hAnsi="Cairo"/>
          <w:b/>
          <w:color w:val="0B1E40"/>
          <w:sz w:val="48"/>
        </w:rPr>
        <w:t>الدليل التشغيلي السريري والمخبري الموحد</w:t>
      </w:r>
    </w:p>
    <w:p>
      <w:pPr>
        <w:bidi w:val="1"/>
        <w:spacing w:after="440"/>
        <w:jc w:val="center"/>
      </w:pPr>
      <w:r>
        <w:rPr>
          <w:rFonts w:ascii="Cairo" w:hAnsi="Cairo"/>
          <w:color w:val="0033CC"/>
          <w:sz w:val="25"/>
        </w:rPr>
        <w:t>منظومة رابِط لِـس للمعلومات المخبرية، الربط الآلي للأجهزة ASTM/HL7، وبنوك الدم ISBT-128</w:t>
      </w:r>
    </w:p>
    <w:tbl>
      <w:tblPr>
        <w:tblW w:type="auto" w:w="0"/>
        <w:jc w:val="center"/>
        <w:tblLook w:firstColumn="1" w:firstRow="1" w:lastColumn="0" w:lastRow="0" w:noHBand="0" w:noVBand="1" w:val="04A0"/>
        <w:bidiVisual/>
      </w:tblPr>
      <w:tblGrid>
        <w:gridCol w:w="4824"/>
        <w:gridCol w:w="4824"/>
      </w:tblGrid>
      <w:tr>
        <w:tc>
          <w:tcPr>
            <w:tcW w:type="dxa" w:w="4824"/>
            <w:shd w:fill="F8FAFC"/>
            <w:tcMar>
              <w:top w:w="80" w:type="dxa"/>
              <w:bottom w:w="80" w:type="dxa"/>
              <w:left w:w="150" w:type="dxa"/>
              <w:right w:w="15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b/>
                <w:color w:val="0B1E40"/>
                <w:sz w:val="20"/>
              </w:rPr>
              <w:t>الإصدار البرمجي المعتمد:</w:t>
            </w:r>
          </w:p>
        </w:tc>
        <w:tc>
          <w:tcPr>
            <w:tcW w:type="dxa" w:w="4824"/>
            <w:shd w:fill="FFFFFF"/>
            <w:tcMar>
              <w:top w:w="80" w:type="dxa"/>
              <w:bottom w:w="80" w:type="dxa"/>
              <w:left w:w="150" w:type="dxa"/>
              <w:right w:w="15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color w:val="0F172A"/>
                <w:sz w:val="19"/>
              </w:rPr>
              <w:t>v1.1.2 Enterprise Laboratory Edition</w:t>
            </w:r>
          </w:p>
        </w:tc>
      </w:tr>
      <w:tr>
        <w:tc>
          <w:tcPr>
            <w:tcW w:type="dxa" w:w="4824"/>
            <w:shd w:fill="F8FAFC"/>
            <w:tcMar>
              <w:top w:w="80" w:type="dxa"/>
              <w:bottom w:w="80" w:type="dxa"/>
              <w:left w:w="150" w:type="dxa"/>
              <w:right w:w="15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b/>
                <w:color w:val="0B1E40"/>
                <w:sz w:val="20"/>
              </w:rPr>
              <w:t>المنظومة الأم الحاضنة:</w:t>
            </w:r>
          </w:p>
        </w:tc>
        <w:tc>
          <w:tcPr>
            <w:tcW w:type="dxa" w:w="4824"/>
            <w:shd w:fill="FFFFFF"/>
            <w:tcMar>
              <w:top w:w="80" w:type="dxa"/>
              <w:bottom w:w="80" w:type="dxa"/>
              <w:left w:w="150" w:type="dxa"/>
              <w:right w:w="15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color w:val="0F172A"/>
                <w:sz w:val="19"/>
              </w:rPr>
              <w:t>منظومة صحة اليمن السيادية (Yemen Health OS)</w:t>
            </w:r>
          </w:p>
        </w:tc>
      </w:tr>
      <w:tr>
        <w:tc>
          <w:tcPr>
            <w:tcW w:type="dxa" w:w="4824"/>
            <w:shd w:fill="F8FAFC"/>
            <w:tcMar>
              <w:top w:w="80" w:type="dxa"/>
              <w:bottom w:w="80" w:type="dxa"/>
              <w:left w:w="150" w:type="dxa"/>
              <w:right w:w="15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b/>
                <w:color w:val="0B1E40"/>
                <w:sz w:val="20"/>
              </w:rPr>
              <w:t>البوابة الإلكترونية المباشرة:</w:t>
            </w:r>
          </w:p>
        </w:tc>
        <w:tc>
          <w:tcPr>
            <w:tcW w:type="dxa" w:w="4824"/>
            <w:shd w:fill="FFFFFF"/>
            <w:tcMar>
              <w:top w:w="80" w:type="dxa"/>
              <w:bottom w:w="80" w:type="dxa"/>
              <w:left w:w="150" w:type="dxa"/>
              <w:right w:w="15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color w:val="0F172A"/>
                <w:sz w:val="19"/>
              </w:rPr>
              <w:t>https://yemenhealthos.com/ar/lis/accessioning/station/</w:t>
            </w:r>
          </w:p>
        </w:tc>
      </w:tr>
      <w:tr>
        <w:tc>
          <w:tcPr>
            <w:tcW w:type="dxa" w:w="4824"/>
            <w:shd w:fill="F8FAFC"/>
            <w:tcMar>
              <w:top w:w="80" w:type="dxa"/>
              <w:bottom w:w="80" w:type="dxa"/>
              <w:left w:w="150" w:type="dxa"/>
              <w:right w:w="15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b/>
                <w:color w:val="0B1E40"/>
                <w:sz w:val="20"/>
              </w:rPr>
              <w:t>معايير الامتثال والجودة:</w:t>
            </w:r>
          </w:p>
        </w:tc>
        <w:tc>
          <w:tcPr>
            <w:tcW w:type="dxa" w:w="4824"/>
            <w:shd w:fill="FFFFFF"/>
            <w:tcMar>
              <w:top w:w="80" w:type="dxa"/>
              <w:bottom w:w="80" w:type="dxa"/>
              <w:left w:w="150" w:type="dxa"/>
              <w:right w:w="15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color w:val="0F172A"/>
                <w:sz w:val="19"/>
              </w:rPr>
              <w:t>معايير الاعتماد الدولي CAP, CLIA, ISO-15189, ISBT-128</w:t>
            </w:r>
          </w:p>
        </w:tc>
      </w:tr>
    </w:tbl>
    <w:p>
      <w:r>
        <w:br w:type="page"/>
      </w:r>
    </w:p>
    <w:p>
      <w:pPr>
        <w:bidi w:val="1"/>
        <w:jc w:val="right"/>
      </w:pPr>
      <w:r>
        <w:rPr>
          <w:rFonts w:ascii="Cairo" w:hAnsi="Cairo"/>
          <w:b/>
          <w:color w:val="0B1E40"/>
          <w:sz w:val="32"/>
        </w:rPr>
        <w:t>فهرس المحاور التشغيلية العشرة (Laboratory Modules)</w:t>
      </w:r>
    </w:p>
    <w:tbl>
      <w:tblPr>
        <w:tblW w:type="auto" w:w="0"/>
        <w:jc w:val="center"/>
        <w:tblLook w:firstColumn="1" w:firstRow="1" w:lastColumn="0" w:lastRow="0" w:noHBand="0" w:noVBand="1" w:val="04A0"/>
        <w:bidiVisual/>
      </w:tblPr>
      <w:tblGrid>
        <w:gridCol w:w="4824"/>
        <w:gridCol w:w="4824"/>
      </w:tblGrid>
      <w:tr>
        <w:tc>
          <w:tcPr>
            <w:tcW w:type="dxa" w:w="4824"/>
            <w:shd w:fill="0033CC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b/>
                <w:color w:val="FFFFFF"/>
              </w:rPr>
              <w:t>المحور التشغيلي / الموديول</w:t>
            </w:r>
          </w:p>
        </w:tc>
        <w:tc>
          <w:tcPr>
            <w:tcW w:type="dxa" w:w="4824"/>
            <w:shd w:fill="0033CC"/>
            <w:tcMar>
              <w:top w:w="100" w:type="dxa"/>
              <w:bottom w:w="100" w:type="dxa"/>
              <w:left w:w="150" w:type="dxa"/>
              <w:right w:w="15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b/>
                <w:color w:val="FFFFFF"/>
              </w:rPr>
              <w:t>نطاق العمل المعياري</w:t>
            </w:r>
          </w:p>
        </w:tc>
      </w:tr>
      <w:tr>
        <w:tc>
          <w:tcPr>
            <w:tcW w:type="dxa" w:w="4824"/>
            <w:shd w:fill="FFFFFF"/>
            <w:tcMar>
              <w:top w:w="80" w:type="dxa"/>
              <w:bottom w:w="80" w:type="dxa"/>
              <w:left w:w="140" w:type="dxa"/>
              <w:right w:w="14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b/>
                <w:color w:val="0033CC"/>
              </w:rPr>
              <w:t>الموديول 1</w:t>
            </w:r>
          </w:p>
        </w:tc>
        <w:tc>
          <w:tcPr>
            <w:tcW w:type="dxa" w:w="4824"/>
            <w:shd w:fill="FFFFFF"/>
            <w:tcMar>
              <w:top w:w="80" w:type="dxa"/>
              <w:bottom w:w="80" w:type="dxa"/>
              <w:left w:w="140" w:type="dxa"/>
              <w:right w:w="14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color w:val="0F172A"/>
                <w:sz w:val="19"/>
              </w:rPr>
              <w:t>استلام وسحب العينات وتلوين الأنابيب وفحص التكسر (Accessioning &amp; HIL Sorter)</w:t>
            </w:r>
          </w:p>
        </w:tc>
      </w:tr>
      <w:tr>
        <w:tc>
          <w:tcPr>
            <w:tcW w:type="dxa" w:w="4824"/>
            <w:shd w:fill="F8FAFC"/>
            <w:tcMar>
              <w:top w:w="80" w:type="dxa"/>
              <w:bottom w:w="80" w:type="dxa"/>
              <w:left w:w="140" w:type="dxa"/>
              <w:right w:w="14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b/>
                <w:color w:val="0033CC"/>
              </w:rPr>
              <w:t>الموديول 2</w:t>
            </w:r>
          </w:p>
        </w:tc>
        <w:tc>
          <w:tcPr>
            <w:tcW w:type="dxa" w:w="4824"/>
            <w:shd w:fill="F8FAFC"/>
            <w:tcMar>
              <w:top w:w="80" w:type="dxa"/>
              <w:bottom w:w="80" w:type="dxa"/>
              <w:left w:w="140" w:type="dxa"/>
              <w:right w:w="14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color w:val="0F172A"/>
                <w:sz w:val="19"/>
              </w:rPr>
              <w:t>ربط وبرمجة أجهزة التحليل الآلية (ASTM 1394-E / HL7 Middleware)</w:t>
            </w:r>
          </w:p>
        </w:tc>
      </w:tr>
      <w:tr>
        <w:tc>
          <w:tcPr>
            <w:tcW w:type="dxa" w:w="4824"/>
            <w:shd w:fill="FFFFFF"/>
            <w:tcMar>
              <w:top w:w="80" w:type="dxa"/>
              <w:bottom w:w="80" w:type="dxa"/>
              <w:left w:w="140" w:type="dxa"/>
              <w:right w:w="14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b/>
                <w:color w:val="0033CC"/>
              </w:rPr>
              <w:t>الموديول 3</w:t>
            </w:r>
          </w:p>
        </w:tc>
        <w:tc>
          <w:tcPr>
            <w:tcW w:type="dxa" w:w="4824"/>
            <w:shd w:fill="FFFFFF"/>
            <w:tcMar>
              <w:top w:w="80" w:type="dxa"/>
              <w:bottom w:w="80" w:type="dxa"/>
              <w:left w:w="140" w:type="dxa"/>
              <w:right w:w="14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color w:val="0F172A"/>
                <w:sz w:val="19"/>
              </w:rPr>
              <w:t>محطة التحليل والمطابقة المباشرة والتخفيف والاعتماد التلقائي (Workbench &amp; Results)</w:t>
            </w:r>
          </w:p>
        </w:tc>
      </w:tr>
      <w:tr>
        <w:tc>
          <w:tcPr>
            <w:tcW w:type="dxa" w:w="4824"/>
            <w:shd w:fill="F8FAFC"/>
            <w:tcMar>
              <w:top w:w="80" w:type="dxa"/>
              <w:bottom w:w="80" w:type="dxa"/>
              <w:left w:w="140" w:type="dxa"/>
              <w:right w:w="14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b/>
                <w:color w:val="0033CC"/>
              </w:rPr>
              <w:t>الموديول 4</w:t>
            </w:r>
          </w:p>
        </w:tc>
        <w:tc>
          <w:tcPr>
            <w:tcW w:type="dxa" w:w="4824"/>
            <w:shd w:fill="F8FAFC"/>
            <w:tcMar>
              <w:top w:w="80" w:type="dxa"/>
              <w:bottom w:w="80" w:type="dxa"/>
              <w:left w:w="140" w:type="dxa"/>
              <w:right w:w="14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color w:val="0F172A"/>
                <w:sz w:val="19"/>
              </w:rPr>
              <w:t>رادار إنذارات القيم الحرجة وإغلاق دائرة التبليغ (Panic Values Closed-Loop)</w:t>
            </w:r>
          </w:p>
        </w:tc>
      </w:tr>
      <w:tr>
        <w:tc>
          <w:tcPr>
            <w:tcW w:type="dxa" w:w="4824"/>
            <w:shd w:fill="FFFFFF"/>
            <w:tcMar>
              <w:top w:w="80" w:type="dxa"/>
              <w:bottom w:w="80" w:type="dxa"/>
              <w:left w:w="140" w:type="dxa"/>
              <w:right w:w="14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b/>
                <w:color w:val="0033CC"/>
              </w:rPr>
              <w:t>الموديول 5</w:t>
            </w:r>
          </w:p>
        </w:tc>
        <w:tc>
          <w:tcPr>
            <w:tcW w:type="dxa" w:w="4824"/>
            <w:shd w:fill="FFFFFF"/>
            <w:tcMar>
              <w:top w:w="80" w:type="dxa"/>
              <w:bottom w:w="80" w:type="dxa"/>
              <w:left w:w="140" w:type="dxa"/>
              <w:right w:w="14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color w:val="0F172A"/>
                <w:sz w:val="19"/>
              </w:rPr>
              <w:t>ضبط الجودة الإحصائية ومخططات ليفي-جينينغز وقواعد ويستجارد (Statistical QC &amp; Westgard)</w:t>
            </w:r>
          </w:p>
        </w:tc>
      </w:tr>
      <w:tr>
        <w:tc>
          <w:tcPr>
            <w:tcW w:type="dxa" w:w="4824"/>
            <w:shd w:fill="F8FAFC"/>
            <w:tcMar>
              <w:top w:w="80" w:type="dxa"/>
              <w:bottom w:w="80" w:type="dxa"/>
              <w:left w:w="140" w:type="dxa"/>
              <w:right w:w="14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b/>
                <w:color w:val="0033CC"/>
              </w:rPr>
              <w:t>الموديول 6</w:t>
            </w:r>
          </w:p>
        </w:tc>
        <w:tc>
          <w:tcPr>
            <w:tcW w:type="dxa" w:w="4824"/>
            <w:shd w:fill="F8FAFC"/>
            <w:tcMar>
              <w:top w:w="80" w:type="dxa"/>
              <w:bottom w:w="80" w:type="dxa"/>
              <w:left w:w="140" w:type="dxa"/>
              <w:right w:w="14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color w:val="0F172A"/>
                <w:sz w:val="19"/>
              </w:rPr>
              <w:t>بنك الدم والمطابقة ونقل الدم المأمون (ISBT-128 Blood Bank &amp; Crossmatch)</w:t>
            </w:r>
          </w:p>
        </w:tc>
      </w:tr>
      <w:tr>
        <w:tc>
          <w:tcPr>
            <w:tcW w:type="dxa" w:w="4824"/>
            <w:shd w:fill="FFFFFF"/>
            <w:tcMar>
              <w:top w:w="80" w:type="dxa"/>
              <w:bottom w:w="80" w:type="dxa"/>
              <w:left w:w="140" w:type="dxa"/>
              <w:right w:w="14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b/>
                <w:color w:val="0033CC"/>
              </w:rPr>
              <w:t>الموديول 7</w:t>
            </w:r>
          </w:p>
        </w:tc>
        <w:tc>
          <w:tcPr>
            <w:tcW w:type="dxa" w:w="4824"/>
            <w:shd w:fill="FFFFFF"/>
            <w:tcMar>
              <w:top w:w="80" w:type="dxa"/>
              <w:bottom w:w="80" w:type="dxa"/>
              <w:left w:w="140" w:type="dxa"/>
              <w:right w:w="14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color w:val="0F172A"/>
                <w:sz w:val="19"/>
              </w:rPr>
              <w:t>علم الأحياء الدقيقة والمزارع وحساسية المضادات الحيوية (Microbiology &amp; WHO WHONET)</w:t>
            </w:r>
          </w:p>
        </w:tc>
      </w:tr>
      <w:tr>
        <w:tc>
          <w:tcPr>
            <w:tcW w:type="dxa" w:w="4824"/>
            <w:shd w:fill="F8FAFC"/>
            <w:tcMar>
              <w:top w:w="80" w:type="dxa"/>
              <w:bottom w:w="80" w:type="dxa"/>
              <w:left w:w="140" w:type="dxa"/>
              <w:right w:w="14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b/>
                <w:color w:val="0033CC"/>
              </w:rPr>
              <w:t>الموديول 8</w:t>
            </w:r>
          </w:p>
        </w:tc>
        <w:tc>
          <w:tcPr>
            <w:tcW w:type="dxa" w:w="4824"/>
            <w:shd w:fill="F8FAFC"/>
            <w:tcMar>
              <w:top w:w="80" w:type="dxa"/>
              <w:bottom w:w="80" w:type="dxa"/>
              <w:left w:w="140" w:type="dxa"/>
              <w:right w:w="14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color w:val="0F172A"/>
                <w:sz w:val="19"/>
              </w:rPr>
              <w:t>التشخيص النسيجي للأورام، الجينوم الجزيئي والسموم الشرعية (Pathology, NGS &amp; Toxicology)</w:t>
            </w:r>
          </w:p>
        </w:tc>
      </w:tr>
      <w:tr>
        <w:tc>
          <w:tcPr>
            <w:tcW w:type="dxa" w:w="4824"/>
            <w:shd w:fill="FFFFFF"/>
            <w:tcMar>
              <w:top w:w="80" w:type="dxa"/>
              <w:bottom w:w="80" w:type="dxa"/>
              <w:left w:w="140" w:type="dxa"/>
              <w:right w:w="14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b/>
                <w:color w:val="0033CC"/>
              </w:rPr>
              <w:t>الموديول 9</w:t>
            </w:r>
          </w:p>
        </w:tc>
        <w:tc>
          <w:tcPr>
            <w:tcW w:type="dxa" w:w="4824"/>
            <w:shd w:fill="FFFFFF"/>
            <w:tcMar>
              <w:top w:w="80" w:type="dxa"/>
              <w:bottom w:w="80" w:type="dxa"/>
              <w:left w:w="140" w:type="dxa"/>
              <w:right w:w="14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color w:val="0F172A"/>
                <w:sz w:val="19"/>
              </w:rPr>
              <w:t>الذكاء الاصطناعي للمجهر والرصد البيئي ومراقبة زمن الإنجاز (AI Vision, IoT &amp; SLA TAT)</w:t>
            </w:r>
          </w:p>
        </w:tc>
      </w:tr>
      <w:tr>
        <w:tc>
          <w:tcPr>
            <w:tcW w:type="dxa" w:w="4824"/>
            <w:shd w:fill="F8FAFC"/>
            <w:tcMar>
              <w:top w:w="80" w:type="dxa"/>
              <w:bottom w:w="80" w:type="dxa"/>
              <w:left w:w="140" w:type="dxa"/>
              <w:right w:w="14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b/>
                <w:color w:val="0033CC"/>
              </w:rPr>
              <w:t>الموديول 10</w:t>
            </w:r>
          </w:p>
        </w:tc>
        <w:tc>
          <w:tcPr>
            <w:tcW w:type="dxa" w:w="4824"/>
            <w:shd w:fill="F8FAFC"/>
            <w:tcMar>
              <w:top w:w="80" w:type="dxa"/>
              <w:bottom w:w="80" w:type="dxa"/>
              <w:left w:w="140" w:type="dxa"/>
              <w:right w:w="14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color w:val="0F172A"/>
                <w:sz w:val="19"/>
              </w:rPr>
              <w:t>الحسابات وعمولات الأطباء، فاحص المطالبات والإرسال الخارجي (Commissions, RCM &amp; Logistics)</w:t>
            </w:r>
          </w:p>
        </w:tc>
      </w:tr>
    </w:tbl>
    <w:p>
      <w:pPr>
        <w:spacing w:after="280"/>
      </w:pPr>
    </w:p>
    <w:tbl>
      <w:tblPr>
        <w:tblW w:type="auto" w:w="0"/>
        <w:jc w:val="center"/>
        <w:tblLook w:firstColumn="1" w:firstRow="1" w:lastColumn="0" w:lastRow="0" w:noHBand="0" w:noVBand="1" w:val="04A0"/>
        <w:bidiVisual/>
      </w:tblPr>
      <w:tblGrid>
        <w:gridCol w:w="9648"/>
      </w:tblGrid>
      <w:tr>
        <w:tc>
          <w:tcPr>
            <w:tcW w:type="dxa" w:w="9648"/>
            <w:shd w:fill="F0FDF4"/>
            <w:tcMar>
              <w:top w:w="160" w:type="dxa"/>
              <w:bottom w:w="160" w:type="dxa"/>
              <w:left w:w="240" w:type="dxa"/>
              <w:right w:w="240" w:type="dxa"/>
            </w:tcMar>
            <w:tcBorders>
              <w:top w:val="none"/>
              <w:left w:val="none"/>
              <w:bottom w:val="none"/>
              <w:right w:val="single" w:sz="36" w:space="0" w:color="22C55E"/>
            </w:tcBorders>
          </w:tcPr>
          <w:p>
            <w:pPr>
              <w:bidi w:val="1"/>
              <w:jc w:val="right"/>
            </w:pPr>
            <w:r>
              <w:rPr>
                <w:rFonts w:ascii="Cairo" w:hAnsi="Cairo"/>
                <w:b/>
                <w:color w:val="0B1E40"/>
                <w:sz w:val="22"/>
              </w:rPr>
              <w:t>🛡️ مبدأ الدقة الصفرية (Zero-Error Phlebotomy):</w:t>
              <w:br/>
            </w:r>
            <w:r>
              <w:rPr>
                <w:rFonts w:ascii="Cairo" w:hAnsi="Cairo"/>
                <w:color w:val="0F172A"/>
                <w:sz w:val="19"/>
              </w:rPr>
              <w:t>تم تصميم رابِط لِـس لمنع أي خطأ عيني أو سريري من خلال التتبع الإجباري بالأرقام التسلسلية المشفرة وربطها المباشر بمحطات التحليل الأوتوماتيكية.</w:t>
            </w:r>
          </w:p>
        </w:tc>
      </w:tr>
    </w:tbl>
    <w:p>
      <w:pPr>
        <w:spacing w:before="80" w:after="120"/>
      </w:pPr>
    </w:p>
    <w:p>
      <w:r>
        <w:br w:type="page"/>
      </w:r>
    </w:p>
    <w:p>
      <w:pPr>
        <w:bidi w:val="1"/>
        <w:spacing w:before="320" w:after="80"/>
        <w:jc w:val="right"/>
      </w:pPr>
      <w:r>
        <w:rPr>
          <w:rFonts w:ascii="Cairo" w:hAnsi="Cairo"/>
          <w:b/>
          <w:color w:val="0033CC"/>
          <w:sz w:val="27"/>
        </w:rPr>
        <w:t xml:space="preserve">الموديول 1: </w:t>
      </w:r>
      <w:r>
        <w:rPr>
          <w:rFonts w:ascii="Cairo" w:hAnsi="Cairo"/>
          <w:b/>
          <w:color w:val="0B1E40"/>
          <w:sz w:val="27"/>
        </w:rPr>
        <w:t>استلام وسحب العينات وتلوين الأنابيب وفحص التكسر (Accessioning &amp; HIL Sorter)</w:t>
      </w:r>
    </w:p>
    <w:p>
      <w:pPr>
        <w:bidi w:val="1"/>
        <w:spacing w:after="160"/>
        <w:jc w:val="right"/>
      </w:pPr>
      <w:r>
        <w:rPr>
          <w:rFonts w:ascii="Cairo" w:hAnsi="Cairo"/>
          <w:color w:val="0F172A"/>
          <w:sz w:val="20"/>
        </w:rPr>
        <w:t>إدارة محطة سحب وقبول الأنابيب بدقة متناهية، والتعرف التلقائي على نوع الأنبوب حسب اللون الدولي القياسي (SST, EDTA, Citrate, Heparin, Fluoride)، مع الفحص الفوري لدرجات التكسر واليرقان والدهون.</w:t>
      </w:r>
    </w:p>
    <w:p>
      <w:pPr>
        <w:bidi w:val="1"/>
        <w:spacing w:before="40" w:after="60"/>
        <w:ind w:right="288"/>
        <w:jc w:val="right"/>
      </w:pPr>
      <w:r>
        <w:rPr>
          <w:rFonts w:ascii="Cairo" w:hAnsi="Cairo"/>
          <w:b/>
          <w:color w:val="0088FE"/>
          <w:sz w:val="19"/>
        </w:rPr>
        <w:t xml:space="preserve">✔  </w:t>
      </w:r>
      <w:r>
        <w:rPr>
          <w:rFonts w:ascii="Cairo" w:hAnsi="Cairo"/>
          <w:color w:val="0F172A"/>
          <w:sz w:val="19"/>
        </w:rPr>
        <w:t>المسح الضوئي الفائق للباركود: مسح الباركود عبر محطة /lis/accessioning/station/ وتأكيد وقت السحب بالثانية.</w:t>
      </w:r>
    </w:p>
    <w:p>
      <w:pPr>
        <w:bidi w:val="1"/>
        <w:spacing w:before="40" w:after="60"/>
        <w:ind w:right="288"/>
        <w:jc w:val="right"/>
      </w:pPr>
      <w:r>
        <w:rPr>
          <w:rFonts w:ascii="Cairo" w:hAnsi="Cairo"/>
          <w:b/>
          <w:color w:val="0088FE"/>
          <w:sz w:val="19"/>
        </w:rPr>
        <w:t xml:space="preserve">✔  </w:t>
      </w:r>
      <w:r>
        <w:rPr>
          <w:rFonts w:ascii="Cairo" w:hAnsi="Cairo"/>
          <w:color w:val="0F172A"/>
          <w:sz w:val="19"/>
        </w:rPr>
        <w:t>سحب وقبول الأنابيب المجمعة بنقرة واحدة (1-Click Draw &amp; Receive): اعتماد كامل أنابيب الطلب دفعة واحدة عبر واجهة سريعة.</w:t>
      </w:r>
    </w:p>
    <w:p>
      <w:pPr>
        <w:bidi w:val="1"/>
        <w:spacing w:before="40" w:after="60"/>
        <w:ind w:right="288"/>
        <w:jc w:val="right"/>
      </w:pPr>
      <w:r>
        <w:rPr>
          <w:rFonts w:ascii="Cairo" w:hAnsi="Cairo"/>
          <w:b/>
          <w:color w:val="0088FE"/>
          <w:sz w:val="19"/>
        </w:rPr>
        <w:t xml:space="preserve">✔  </w:t>
      </w:r>
      <w:r>
        <w:rPr>
          <w:rFonts w:ascii="Cairo" w:hAnsi="Cairo"/>
          <w:color w:val="0F172A"/>
          <w:sz w:val="19"/>
        </w:rPr>
        <w:t>تقييم مؤشرات التكسر الفوتومترية (HIL Index): كشف درجات التكسر واليرقان والدهون لمنع تشويه قراءات التحاليل الكيميائية.</w:t>
      </w:r>
    </w:p>
    <w:p>
      <w:pPr>
        <w:bidi w:val="1"/>
        <w:spacing w:before="40" w:after="60"/>
        <w:ind w:right="288"/>
        <w:jc w:val="right"/>
      </w:pPr>
      <w:r>
        <w:rPr>
          <w:rFonts w:ascii="Cairo" w:hAnsi="Cairo"/>
          <w:b/>
          <w:color w:val="0088FE"/>
          <w:sz w:val="19"/>
        </w:rPr>
        <w:t xml:space="preserve">✔  </w:t>
      </w:r>
      <w:r>
        <w:rPr>
          <w:rFonts w:ascii="Cairo" w:hAnsi="Cairo"/>
          <w:color w:val="0F172A"/>
          <w:sz w:val="19"/>
        </w:rPr>
        <w:t>بروتوكول الرفض التلقائي مع السحب البديل (Reject &amp; Auto-Redraw): توليد باركود تعويضي فوري وإرسال إشعار للقسم.</w:t>
      </w:r>
    </w:p>
    <w:p>
      <w:pPr>
        <w:bidi w:val="1"/>
        <w:spacing w:before="120" w:after="240"/>
        <w:jc w:val="right"/>
      </w:pPr>
      <w:r>
        <w:rPr>
          <w:rFonts w:ascii="Cairo" w:hAnsi="Cairo"/>
          <w:b/>
          <w:color w:val="0B1E40"/>
          <w:sz w:val="18"/>
        </w:rPr>
        <w:t xml:space="preserve">🔗 الرابط المباشر في المنظومة: </w:t>
      </w:r>
      <w:r>
        <w:rPr>
          <w:rFonts w:ascii="Outfit" w:hAnsi="Outfit"/>
          <w:color w:val="0033CC"/>
          <w:sz w:val="18"/>
          <w:u w:val="single"/>
        </w:rPr>
        <w:t>https://yemenhealthos.com/ar/lis/accessioning/station/</w:t>
      </w:r>
    </w:p>
    <w:p>
      <w:pPr>
        <w:bidi w:val="1"/>
        <w:spacing w:before="320" w:after="80"/>
        <w:jc w:val="right"/>
      </w:pPr>
      <w:r>
        <w:rPr>
          <w:rFonts w:ascii="Cairo" w:hAnsi="Cairo"/>
          <w:b/>
          <w:color w:val="0033CC"/>
          <w:sz w:val="27"/>
        </w:rPr>
        <w:t xml:space="preserve">الموديول 2: </w:t>
      </w:r>
      <w:r>
        <w:rPr>
          <w:rFonts w:ascii="Cairo" w:hAnsi="Cairo"/>
          <w:b/>
          <w:color w:val="0B1E40"/>
          <w:sz w:val="27"/>
        </w:rPr>
        <w:t>ربط وبرمجة أجهزة التحليل الآلية (ASTM 1394-E / HL7 Middleware)</w:t>
      </w:r>
    </w:p>
    <w:p>
      <w:pPr>
        <w:bidi w:val="1"/>
        <w:spacing w:after="160"/>
        <w:jc w:val="right"/>
      </w:pPr>
      <w:r>
        <w:rPr>
          <w:rFonts w:ascii="Cairo" w:hAnsi="Cairo"/>
          <w:color w:val="0F172A"/>
          <w:sz w:val="20"/>
        </w:rPr>
        <w:t>محرك اتصال ذكي ثنائي الاتجاه (Bi-Directional Query Mode) يدعم كبرى أجهزة التحليل العالمية (Roche, Beckman, Sysmex, Abbott, Mindray) عبر بروتوكولات ASTM القياسية ومنافذ TCP/IP و RS-232.</w:t>
      </w:r>
    </w:p>
    <w:p>
      <w:pPr>
        <w:bidi w:val="1"/>
        <w:spacing w:before="40" w:after="60"/>
        <w:ind w:right="288"/>
        <w:jc w:val="right"/>
      </w:pPr>
      <w:r>
        <w:rPr>
          <w:rFonts w:ascii="Cairo" w:hAnsi="Cairo"/>
          <w:b/>
          <w:color w:val="0088FE"/>
          <w:sz w:val="19"/>
        </w:rPr>
        <w:t xml:space="preserve">✔  </w:t>
      </w:r>
      <w:r>
        <w:rPr>
          <w:rFonts w:ascii="Cairo" w:hAnsi="Cairo"/>
          <w:color w:val="0F172A"/>
          <w:sz w:val="19"/>
        </w:rPr>
        <w:t>الاستعلام اللحظي ثنائي الاتجاه: يمسح الجهاز باركود الأنبوب ويستعلم آلياً عبر api/instrument/&lt;id&gt;/worklist/&lt;barcode&gt;/ ليجلب الفحوصات ويبدأ العمل فوراً.</w:t>
      </w:r>
    </w:p>
    <w:p>
      <w:pPr>
        <w:bidi w:val="1"/>
        <w:spacing w:before="40" w:after="60"/>
        <w:ind w:right="288"/>
        <w:jc w:val="right"/>
      </w:pPr>
      <w:r>
        <w:rPr>
          <w:rFonts w:ascii="Cairo" w:hAnsi="Cairo"/>
          <w:b/>
          <w:color w:val="0088FE"/>
          <w:sz w:val="19"/>
        </w:rPr>
        <w:t xml:space="preserve">✔  </w:t>
      </w:r>
      <w:r>
        <w:rPr>
          <w:rFonts w:ascii="Cairo" w:hAnsi="Cairo"/>
          <w:color w:val="0F172A"/>
          <w:sz w:val="19"/>
        </w:rPr>
        <w:t>معالجة أطر النتائج التلقائية: استلام إطارات ASTM وتفكيك قيم النتائج ومطابقتها السريرية في ملف المريض دون تأخير ثانية واحدة.</w:t>
      </w:r>
    </w:p>
    <w:p>
      <w:pPr>
        <w:bidi w:val="1"/>
        <w:spacing w:before="40" w:after="60"/>
        <w:ind w:right="288"/>
        <w:jc w:val="right"/>
      </w:pPr>
      <w:r>
        <w:rPr>
          <w:rFonts w:ascii="Cairo" w:hAnsi="Cairo"/>
          <w:b/>
          <w:color w:val="0088FE"/>
          <w:sz w:val="19"/>
        </w:rPr>
        <w:t xml:space="preserve">✔  </w:t>
      </w:r>
      <w:r>
        <w:rPr>
          <w:rFonts w:ascii="Cairo" w:hAnsi="Cairo"/>
          <w:color w:val="0F172A"/>
          <w:sz w:val="19"/>
        </w:rPr>
        <w:t>مصفوفة الفحوصات الانعكاسية (Reflex Rules): توجيه الجهاز آلياً لطلب فحص تأكيدي إضافي عند تسجيل قيمة غير طبيعية عبر /lis/catalogs/reflex-rules/.</w:t>
      </w:r>
    </w:p>
    <w:p>
      <w:pPr>
        <w:bidi w:val="1"/>
        <w:spacing w:before="120" w:after="240"/>
        <w:jc w:val="right"/>
      </w:pPr>
      <w:r>
        <w:rPr>
          <w:rFonts w:ascii="Cairo" w:hAnsi="Cairo"/>
          <w:b/>
          <w:color w:val="0B1E40"/>
          <w:sz w:val="18"/>
        </w:rPr>
        <w:t xml:space="preserve">🔗 الرابط المباشر في المنظومة: </w:t>
      </w:r>
      <w:r>
        <w:rPr>
          <w:rFonts w:ascii="Outfit" w:hAnsi="Outfit"/>
          <w:color w:val="0033CC"/>
          <w:sz w:val="18"/>
          <w:u w:val="single"/>
        </w:rPr>
        <w:t>https://yemenhealthos.com/ar/lis/analyzers/</w:t>
      </w:r>
    </w:p>
    <w:p>
      <w:pPr>
        <w:bidi w:val="1"/>
        <w:spacing w:before="320" w:after="80"/>
        <w:jc w:val="right"/>
      </w:pPr>
      <w:r>
        <w:rPr>
          <w:rFonts w:ascii="Cairo" w:hAnsi="Cairo"/>
          <w:b/>
          <w:color w:val="0033CC"/>
          <w:sz w:val="27"/>
        </w:rPr>
        <w:t xml:space="preserve">الموديول 3: </w:t>
      </w:r>
      <w:r>
        <w:rPr>
          <w:rFonts w:ascii="Cairo" w:hAnsi="Cairo"/>
          <w:b/>
          <w:color w:val="0B1E40"/>
          <w:sz w:val="27"/>
        </w:rPr>
        <w:t>محطة التحليل والمطابقة المباشرة والتخفيف والاعتماد التلقائي (Workbench &amp; Results)</w:t>
      </w:r>
    </w:p>
    <w:p>
      <w:pPr>
        <w:bidi w:val="1"/>
        <w:spacing w:after="160"/>
        <w:jc w:val="right"/>
      </w:pPr>
      <w:r>
        <w:rPr>
          <w:rFonts w:ascii="Cairo" w:hAnsi="Cairo"/>
          <w:color w:val="0F172A"/>
          <w:sz w:val="20"/>
        </w:rPr>
        <w:t>منصة مجمعة لفحص واعتماد النتائج السريرية، تطبيق فحص التغير الحاد (Delta Check)، حساب المعادلات المخبرية المشتقة، وتخفيف العينات خارج النطاق.</w:t>
      </w:r>
    </w:p>
    <w:p>
      <w:pPr>
        <w:bidi w:val="1"/>
        <w:spacing w:before="40" w:after="60"/>
        <w:ind w:right="288"/>
        <w:jc w:val="right"/>
      </w:pPr>
      <w:r>
        <w:rPr>
          <w:rFonts w:ascii="Cairo" w:hAnsi="Cairo"/>
          <w:b/>
          <w:color w:val="0088FE"/>
          <w:sz w:val="19"/>
        </w:rPr>
        <w:t xml:space="preserve">✔  </w:t>
      </w:r>
      <w:r>
        <w:rPr>
          <w:rFonts w:ascii="Cairo" w:hAnsi="Cairo"/>
          <w:color w:val="0F172A"/>
          <w:sz w:val="19"/>
        </w:rPr>
        <w:t>محطة العمل الموحدة: إدخال وتدقيق ومطابقة النتائج المخبرية دفعة واحدة من شاشة واحدة عبر /lis/workbench/results/.</w:t>
      </w:r>
    </w:p>
    <w:p>
      <w:pPr>
        <w:bidi w:val="1"/>
        <w:spacing w:before="40" w:after="60"/>
        <w:ind w:right="288"/>
        <w:jc w:val="right"/>
      </w:pPr>
      <w:r>
        <w:rPr>
          <w:rFonts w:ascii="Cairo" w:hAnsi="Cairo"/>
          <w:b/>
          <w:color w:val="0088FE"/>
          <w:sz w:val="19"/>
        </w:rPr>
        <w:t xml:space="preserve">✔  </w:t>
      </w:r>
      <w:r>
        <w:rPr>
          <w:rFonts w:ascii="Cairo" w:hAnsi="Cairo"/>
          <w:color w:val="0F172A"/>
          <w:sz w:val="19"/>
        </w:rPr>
        <w:t>الاعتماد التلقائي للنتائج الطبيعية (F4 Auto-Verify): تدقيق النتائج التي تقع ضمن المدى الطبيعي دون تعارضات سريرية بنقرة زر.</w:t>
      </w:r>
    </w:p>
    <w:p>
      <w:pPr>
        <w:bidi w:val="1"/>
        <w:spacing w:before="40" w:after="60"/>
        <w:ind w:right="288"/>
        <w:jc w:val="right"/>
      </w:pPr>
      <w:r>
        <w:rPr>
          <w:rFonts w:ascii="Cairo" w:hAnsi="Cairo"/>
          <w:b/>
          <w:color w:val="0088FE"/>
          <w:sz w:val="19"/>
        </w:rPr>
        <w:t xml:space="preserve">✔  </w:t>
      </w:r>
      <w:r>
        <w:rPr>
          <w:rFonts w:ascii="Cairo" w:hAnsi="Cairo"/>
          <w:color w:val="0F172A"/>
          <w:sz w:val="19"/>
        </w:rPr>
        <w:t>تطبيق معامل التخفيف التحليلي (Alt + D Dilution): عند تجاوز العينة لمدى الجهاز القابل للقياس (AMR High) يتم ضرب القيمة بمعامل التخفيف وحساب التركيز الفعلي.</w:t>
      </w:r>
    </w:p>
    <w:p>
      <w:pPr>
        <w:bidi w:val="1"/>
        <w:spacing w:before="40" w:after="60"/>
        <w:ind w:right="288"/>
        <w:jc w:val="right"/>
      </w:pPr>
      <w:r>
        <w:rPr>
          <w:rFonts w:ascii="Cairo" w:hAnsi="Cairo"/>
          <w:b/>
          <w:color w:val="0088FE"/>
          <w:sz w:val="19"/>
        </w:rPr>
        <w:t xml:space="preserve">✔  </w:t>
      </w:r>
      <w:r>
        <w:rPr>
          <w:rFonts w:ascii="Cairo" w:hAnsi="Cairo"/>
          <w:color w:val="0F172A"/>
          <w:sz w:val="19"/>
        </w:rPr>
        <w:t>التقرير التراكمي الموحد: توليد تقرير طبي متسلسل عبر /lis/reports/cumulative/&lt;uuid&gt;/ يوضح المقارنات التاريخية السابقة.</w:t>
      </w:r>
    </w:p>
    <w:p>
      <w:pPr>
        <w:bidi w:val="1"/>
        <w:spacing w:before="120" w:after="240"/>
        <w:jc w:val="right"/>
      </w:pPr>
      <w:r>
        <w:rPr>
          <w:rFonts w:ascii="Cairo" w:hAnsi="Cairo"/>
          <w:b/>
          <w:color w:val="0B1E40"/>
          <w:sz w:val="18"/>
        </w:rPr>
        <w:t xml:space="preserve">🔗 الرابط المباشر في المنظومة: </w:t>
      </w:r>
      <w:r>
        <w:rPr>
          <w:rFonts w:ascii="Outfit" w:hAnsi="Outfit"/>
          <w:color w:val="0033CC"/>
          <w:sz w:val="18"/>
          <w:u w:val="single"/>
        </w:rPr>
        <w:t>https://yemenhealthos.com/ar/lis/workbench/results/</w:t>
      </w:r>
    </w:p>
    <w:p>
      <w:pPr>
        <w:bidi w:val="1"/>
        <w:spacing w:before="320" w:after="80"/>
        <w:jc w:val="right"/>
      </w:pPr>
      <w:r>
        <w:rPr>
          <w:rFonts w:ascii="Cairo" w:hAnsi="Cairo"/>
          <w:b/>
          <w:color w:val="0033CC"/>
          <w:sz w:val="27"/>
        </w:rPr>
        <w:t xml:space="preserve">الموديول 4: </w:t>
      </w:r>
      <w:r>
        <w:rPr>
          <w:rFonts w:ascii="Cairo" w:hAnsi="Cairo"/>
          <w:b/>
          <w:color w:val="0B1E40"/>
          <w:sz w:val="27"/>
        </w:rPr>
        <w:t>رادار إنذارات القيم الحرجة وإغلاق دائرة التبليغ (Panic Values Closed-Loop)</w:t>
      </w:r>
    </w:p>
    <w:p>
      <w:pPr>
        <w:bidi w:val="1"/>
        <w:spacing w:after="160"/>
        <w:jc w:val="right"/>
      </w:pPr>
      <w:r>
        <w:rPr>
          <w:rFonts w:ascii="Cairo" w:hAnsi="Cairo"/>
          <w:color w:val="0F172A"/>
          <w:sz w:val="20"/>
        </w:rPr>
        <w:t>حماية حياة المريض بالتبليغ الإلزامي الفوري عن النتائج المهددة للحياة، متوافق كلياً مع اشتراطات ومعايير الجودة العالمية (CAP &amp; CLIA).</w:t>
      </w:r>
    </w:p>
    <w:p>
      <w:pPr>
        <w:bidi w:val="1"/>
        <w:spacing w:before="40" w:after="60"/>
        <w:ind w:right="288"/>
        <w:jc w:val="right"/>
      </w:pPr>
      <w:r>
        <w:rPr>
          <w:rFonts w:ascii="Cairo" w:hAnsi="Cairo"/>
          <w:b/>
          <w:color w:val="0088FE"/>
          <w:sz w:val="19"/>
        </w:rPr>
        <w:t xml:space="preserve">✔  </w:t>
      </w:r>
      <w:r>
        <w:rPr>
          <w:rFonts w:ascii="Cairo" w:hAnsi="Cairo"/>
          <w:color w:val="0F172A"/>
          <w:sz w:val="19"/>
        </w:rPr>
        <w:t>طابور العينات الحرجة المباشر: عزل العينات التي تسجل قيماً حرجة في طابور فوري عبر /lis/workbench/panic-queue/ مع إنذار صوتي ومرئي.</w:t>
      </w:r>
    </w:p>
    <w:p>
      <w:pPr>
        <w:bidi w:val="1"/>
        <w:spacing w:before="40" w:after="60"/>
        <w:ind w:right="288"/>
        <w:jc w:val="right"/>
      </w:pPr>
      <w:r>
        <w:rPr>
          <w:rFonts w:ascii="Cairo" w:hAnsi="Cairo"/>
          <w:b/>
          <w:color w:val="0088FE"/>
          <w:sz w:val="19"/>
        </w:rPr>
        <w:t xml:space="preserve">✔  </w:t>
      </w:r>
      <w:r>
        <w:rPr>
          <w:rFonts w:ascii="Cairo" w:hAnsi="Cairo"/>
          <w:color w:val="0F172A"/>
          <w:sz w:val="19"/>
        </w:rPr>
        <w:t>توثيق إعادة القراءة السمعية (Closed-Loop Read-Back): منع إغلاق الملف قبل تسجيل اسم الطبيب المعالج الذي استلم الاتصال وتأكيد إعادة قراءته للنتيجة.</w:t>
      </w:r>
    </w:p>
    <w:p>
      <w:pPr>
        <w:bidi w:val="1"/>
        <w:spacing w:before="40" w:after="60"/>
        <w:ind w:right="288"/>
        <w:jc w:val="right"/>
      </w:pPr>
      <w:r>
        <w:rPr>
          <w:rFonts w:ascii="Cairo" w:hAnsi="Cairo"/>
          <w:b/>
          <w:color w:val="0088FE"/>
          <w:sz w:val="19"/>
        </w:rPr>
        <w:t xml:space="preserve">✔  </w:t>
      </w:r>
      <w:r>
        <w:rPr>
          <w:rFonts w:ascii="Cairo" w:hAnsi="Cairo"/>
          <w:color w:val="0F172A"/>
          <w:sz w:val="19"/>
        </w:rPr>
        <w:t>الإشعار الدفعي اللحظي (FCM Panic Push): إرسال إشعار فوري لشاشة الطبيب وتطبيق الموبايل بمجرد صدور القيمة الحرجة.</w:t>
      </w:r>
    </w:p>
    <w:p>
      <w:pPr>
        <w:bidi w:val="1"/>
        <w:spacing w:before="120" w:after="240"/>
        <w:jc w:val="right"/>
      </w:pPr>
      <w:r>
        <w:rPr>
          <w:rFonts w:ascii="Cairo" w:hAnsi="Cairo"/>
          <w:b/>
          <w:color w:val="0B1E40"/>
          <w:sz w:val="18"/>
        </w:rPr>
        <w:t xml:space="preserve">🔗 الرابط المباشر في المنظومة: </w:t>
      </w:r>
      <w:r>
        <w:rPr>
          <w:rFonts w:ascii="Outfit" w:hAnsi="Outfit"/>
          <w:color w:val="0033CC"/>
          <w:sz w:val="18"/>
          <w:u w:val="single"/>
        </w:rPr>
        <w:t>https://yemenhealthos.com/ar/lis/workbench/panic-queue/</w:t>
      </w:r>
    </w:p>
    <w:p>
      <w:pPr>
        <w:bidi w:val="1"/>
        <w:spacing w:before="320" w:after="80"/>
        <w:jc w:val="right"/>
      </w:pPr>
      <w:r>
        <w:rPr>
          <w:rFonts w:ascii="Cairo" w:hAnsi="Cairo"/>
          <w:b/>
          <w:color w:val="0033CC"/>
          <w:sz w:val="27"/>
        </w:rPr>
        <w:t xml:space="preserve">الموديول 5: </w:t>
      </w:r>
      <w:r>
        <w:rPr>
          <w:rFonts w:ascii="Cairo" w:hAnsi="Cairo"/>
          <w:b/>
          <w:color w:val="0B1E40"/>
          <w:sz w:val="27"/>
        </w:rPr>
        <w:t>ضبط الجودة الإحصائية ومخططات ليفي-جينينغز وقواعد ويستجارد (Statistical QC &amp; Westgard)</w:t>
      </w:r>
    </w:p>
    <w:p>
      <w:pPr>
        <w:bidi w:val="1"/>
        <w:spacing w:after="160"/>
        <w:jc w:val="right"/>
      </w:pPr>
      <w:r>
        <w:rPr>
          <w:rFonts w:ascii="Cairo" w:hAnsi="Cairo"/>
          <w:color w:val="0F172A"/>
          <w:sz w:val="20"/>
        </w:rPr>
        <w:t>متابعة تشغيلات محاليل الكنترول وضبط أداء الأجهزة بحساب الانحرافات المعيارية (1SD, 2SD, 3SD) واكتشاف الانتهاكات العشوائية والمنهجية فور وقوعها.</w:t>
      </w:r>
    </w:p>
    <w:p>
      <w:pPr>
        <w:bidi w:val="1"/>
        <w:spacing w:before="40" w:after="60"/>
        <w:ind w:right="288"/>
        <w:jc w:val="right"/>
      </w:pPr>
      <w:r>
        <w:rPr>
          <w:rFonts w:ascii="Cairo" w:hAnsi="Cairo"/>
          <w:b/>
          <w:color w:val="0088FE"/>
          <w:sz w:val="19"/>
        </w:rPr>
        <w:t xml:space="preserve">✔  </w:t>
      </w:r>
      <w:r>
        <w:rPr>
          <w:rFonts w:ascii="Cairo" w:hAnsi="Cairo"/>
          <w:color w:val="0F172A"/>
          <w:sz w:val="19"/>
        </w:rPr>
        <w:t>لوحة متابعة الجودة الإحصائية: استعراض تشغيلات الكنترول اليومية عبر /lis/qc/dashboard/ ومخططات ليفي-جينينغز التفاعلية.</w:t>
      </w:r>
    </w:p>
    <w:p>
      <w:pPr>
        <w:bidi w:val="1"/>
        <w:spacing w:before="40" w:after="60"/>
        <w:ind w:right="288"/>
        <w:jc w:val="right"/>
      </w:pPr>
      <w:r>
        <w:rPr>
          <w:rFonts w:ascii="Cairo" w:hAnsi="Cairo"/>
          <w:b/>
          <w:color w:val="0088FE"/>
          <w:sz w:val="19"/>
        </w:rPr>
        <w:t xml:space="preserve">✔  </w:t>
      </w:r>
      <w:r>
        <w:rPr>
          <w:rFonts w:ascii="Cairo" w:hAnsi="Cairo"/>
          <w:color w:val="0F172A"/>
          <w:sz w:val="19"/>
        </w:rPr>
        <w:t>تقييم قواعد ويستجارد الستة: كشف تلقائي لانتهاكات القواعد (1-3s, 2-2s, R-4s, 4-1s, 10-x) وقفل إخراج نتائج الجهاز عند وجود خلل.</w:t>
      </w:r>
    </w:p>
    <w:p>
      <w:pPr>
        <w:bidi w:val="1"/>
        <w:spacing w:before="40" w:after="60"/>
        <w:ind w:right="288"/>
        <w:jc w:val="right"/>
      </w:pPr>
      <w:r>
        <w:rPr>
          <w:rFonts w:ascii="Cairo" w:hAnsi="Cairo"/>
          <w:b/>
          <w:color w:val="0088FE"/>
          <w:sz w:val="19"/>
        </w:rPr>
        <w:t xml:space="preserve">✔  </w:t>
      </w:r>
      <w:r>
        <w:rPr>
          <w:rFonts w:ascii="Cairo" w:hAnsi="Cairo"/>
          <w:color w:val="0F172A"/>
          <w:sz w:val="19"/>
        </w:rPr>
        <w:t>اختبارات الكفاءة الخارجية (PT Surveys): إدارة ومطابقة نتائج عينات الجودة الدولية الصادرة من الهيئات المعتمدة عبر /lis/qc/pt-surveys/.</w:t>
      </w:r>
    </w:p>
    <w:p>
      <w:pPr>
        <w:bidi w:val="1"/>
        <w:spacing w:before="40" w:after="60"/>
        <w:ind w:right="288"/>
        <w:jc w:val="right"/>
      </w:pPr>
      <w:r>
        <w:rPr>
          <w:rFonts w:ascii="Cairo" w:hAnsi="Cairo"/>
          <w:b/>
          <w:color w:val="0088FE"/>
          <w:sz w:val="19"/>
        </w:rPr>
        <w:t xml:space="preserve">✔  </w:t>
      </w:r>
      <w:r>
        <w:rPr>
          <w:rFonts w:ascii="Cairo" w:hAnsi="Cairo"/>
          <w:color w:val="0F172A"/>
          <w:sz w:val="19"/>
        </w:rPr>
        <w:t>التحقق من تشغيلات المحاليل الجديدة (Lot Verification): التحقق من حساسية ودقة تشغيلات الكواشف قبل إدخالها في الخدمة.</w:t>
      </w:r>
    </w:p>
    <w:p>
      <w:pPr>
        <w:bidi w:val="1"/>
        <w:spacing w:before="120" w:after="240"/>
        <w:jc w:val="right"/>
      </w:pPr>
      <w:r>
        <w:rPr>
          <w:rFonts w:ascii="Cairo" w:hAnsi="Cairo"/>
          <w:b/>
          <w:color w:val="0B1E40"/>
          <w:sz w:val="18"/>
        </w:rPr>
        <w:t xml:space="preserve">🔗 الرابط المباشر في المنظومة: </w:t>
      </w:r>
      <w:r>
        <w:rPr>
          <w:rFonts w:ascii="Outfit" w:hAnsi="Outfit"/>
          <w:color w:val="0033CC"/>
          <w:sz w:val="18"/>
          <w:u w:val="single"/>
        </w:rPr>
        <w:t>https://yemenhealthos.com/ar/lis/qc/dashboard/</w:t>
      </w:r>
    </w:p>
    <w:p>
      <w:pPr>
        <w:bidi w:val="1"/>
        <w:spacing w:before="320" w:after="80"/>
        <w:jc w:val="right"/>
      </w:pPr>
      <w:r>
        <w:rPr>
          <w:rFonts w:ascii="Cairo" w:hAnsi="Cairo"/>
          <w:b/>
          <w:color w:val="0033CC"/>
          <w:sz w:val="27"/>
        </w:rPr>
        <w:t xml:space="preserve">الموديول 6: </w:t>
      </w:r>
      <w:r>
        <w:rPr>
          <w:rFonts w:ascii="Cairo" w:hAnsi="Cairo"/>
          <w:b/>
          <w:color w:val="0B1E40"/>
          <w:sz w:val="27"/>
        </w:rPr>
        <w:t>بنك الدم والمطابقة ونقل الدم المأمون (ISBT-128 Blood Bank &amp; Crossmatch)</w:t>
      </w:r>
    </w:p>
    <w:p>
      <w:pPr>
        <w:bidi w:val="1"/>
        <w:spacing w:after="160"/>
        <w:jc w:val="right"/>
      </w:pPr>
      <w:r>
        <w:rPr>
          <w:rFonts w:ascii="Cairo" w:hAnsi="Cairo"/>
          <w:color w:val="0F172A"/>
          <w:sz w:val="20"/>
        </w:rPr>
        <w:t>نظام بنك دم سيادي متكامل يتتبع أكياس الدم ومشتقاتها (PRBC, FFP, Platelets, Cryo) باستخدام كود الترقيم الدولي الموحد ISBT-128 وبروتوكولات الصرف الطارئ.</w:t>
      </w:r>
    </w:p>
    <w:p>
      <w:pPr>
        <w:bidi w:val="1"/>
        <w:spacing w:before="40" w:after="60"/>
        <w:ind w:right="288"/>
        <w:jc w:val="right"/>
      </w:pPr>
      <w:r>
        <w:rPr>
          <w:rFonts w:ascii="Cairo" w:hAnsi="Cairo"/>
          <w:b/>
          <w:color w:val="0088FE"/>
          <w:sz w:val="19"/>
        </w:rPr>
        <w:t xml:space="preserve">✔  </w:t>
      </w:r>
      <w:r>
        <w:rPr>
          <w:rFonts w:ascii="Cairo" w:hAnsi="Cairo"/>
          <w:color w:val="0F172A"/>
          <w:sz w:val="19"/>
        </w:rPr>
        <w:t>مخزون أكياس الدم ISBT-128: تتبع كيس الدم برقم التبرع الدولي DIN ورصد درجات التبريد وتاريخ انتهاء الصلاحية عبر /lis/bloodbank/inventory/.</w:t>
      </w:r>
    </w:p>
    <w:p>
      <w:pPr>
        <w:bidi w:val="1"/>
        <w:spacing w:before="40" w:after="60"/>
        <w:ind w:right="288"/>
        <w:jc w:val="right"/>
      </w:pPr>
      <w:r>
        <w:rPr>
          <w:rFonts w:ascii="Cairo" w:hAnsi="Cairo"/>
          <w:b/>
          <w:color w:val="0088FE"/>
          <w:sz w:val="19"/>
        </w:rPr>
        <w:t xml:space="preserve">✔  </w:t>
      </w:r>
      <w:r>
        <w:rPr>
          <w:rFonts w:ascii="Cairo" w:hAnsi="Cairo"/>
          <w:color w:val="0F172A"/>
          <w:sz w:val="19"/>
        </w:rPr>
        <w:t>فحص وتسجيل المتبرعين: توثيق القياسات الحيوية واللياقة السريرية للمتبرع عبر /lis/bloodbank/donors/.</w:t>
      </w:r>
    </w:p>
    <w:p>
      <w:pPr>
        <w:bidi w:val="1"/>
        <w:spacing w:before="40" w:after="60"/>
        <w:ind w:right="288"/>
        <w:jc w:val="right"/>
      </w:pPr>
      <w:r>
        <w:rPr>
          <w:rFonts w:ascii="Cairo" w:hAnsi="Cairo"/>
          <w:b/>
          <w:color w:val="0088FE"/>
          <w:sz w:val="19"/>
        </w:rPr>
        <w:t xml:space="preserve">✔  </w:t>
      </w:r>
      <w:r>
        <w:rPr>
          <w:rFonts w:ascii="Cairo" w:hAnsi="Cairo"/>
          <w:color w:val="0F172A"/>
          <w:sz w:val="19"/>
        </w:rPr>
        <w:t>محطة المطابقة والتوافق (Crossmatch): إجراء اختبارات التوافق الكبرى والصغرى وفحص الأجسام المضادة غير المنتظمة وحجز الوحدات إلكترونياً.</w:t>
      </w:r>
    </w:p>
    <w:p>
      <w:pPr>
        <w:bidi w:val="1"/>
        <w:spacing w:before="40" w:after="60"/>
        <w:ind w:right="288"/>
        <w:jc w:val="right"/>
      </w:pPr>
      <w:r>
        <w:rPr>
          <w:rFonts w:ascii="Cairo" w:hAnsi="Cairo"/>
          <w:b/>
          <w:color w:val="0088FE"/>
          <w:sz w:val="19"/>
        </w:rPr>
        <w:t xml:space="preserve">✔  </w:t>
      </w:r>
      <w:r>
        <w:rPr>
          <w:rFonts w:ascii="Cairo" w:hAnsi="Cairo"/>
          <w:color w:val="0F172A"/>
          <w:sz w:val="19"/>
        </w:rPr>
        <w:t>محطة الصرف الطارئ للدم (MTP Station): تفعيل بروتوكول نقل الدم المكثف للحوادث والعمليات الجراحية وصرف الدم غير المطابق تحت الإشراف الطبي عبر /lis/bloodbank/mtp-station/.</w:t>
      </w:r>
    </w:p>
    <w:p>
      <w:pPr>
        <w:bidi w:val="1"/>
        <w:spacing w:before="120" w:after="240"/>
        <w:jc w:val="right"/>
      </w:pPr>
      <w:r>
        <w:rPr>
          <w:rFonts w:ascii="Cairo" w:hAnsi="Cairo"/>
          <w:b/>
          <w:color w:val="0B1E40"/>
          <w:sz w:val="18"/>
        </w:rPr>
        <w:t xml:space="preserve">🔗 الرابط المباشر في المنظومة: </w:t>
      </w:r>
      <w:r>
        <w:rPr>
          <w:rFonts w:ascii="Outfit" w:hAnsi="Outfit"/>
          <w:color w:val="0033CC"/>
          <w:sz w:val="18"/>
          <w:u w:val="single"/>
        </w:rPr>
        <w:t>https://yemenhealthos.com/ar/lis/bloodbank/inventory/</w:t>
      </w:r>
    </w:p>
    <w:p>
      <w:pPr>
        <w:bidi w:val="1"/>
        <w:spacing w:before="320" w:after="80"/>
        <w:jc w:val="right"/>
      </w:pPr>
      <w:r>
        <w:rPr>
          <w:rFonts w:ascii="Cairo" w:hAnsi="Cairo"/>
          <w:b/>
          <w:color w:val="0033CC"/>
          <w:sz w:val="27"/>
        </w:rPr>
        <w:t xml:space="preserve">الموديول 7: </w:t>
      </w:r>
      <w:r>
        <w:rPr>
          <w:rFonts w:ascii="Cairo" w:hAnsi="Cairo"/>
          <w:b/>
          <w:color w:val="0B1E40"/>
          <w:sz w:val="27"/>
        </w:rPr>
        <w:t>علم الأحياء الدقيقة والمزارع وحساسية المضادات الحيوية (Microbiology &amp; WHO WHONET)</w:t>
      </w:r>
    </w:p>
    <w:p>
      <w:pPr>
        <w:bidi w:val="1"/>
        <w:spacing w:after="160"/>
        <w:jc w:val="right"/>
      </w:pPr>
      <w:r>
        <w:rPr>
          <w:rFonts w:ascii="Cairo" w:hAnsi="Cairo"/>
          <w:color w:val="0F172A"/>
          <w:sz w:val="20"/>
        </w:rPr>
        <w:t>إدارة عزل الميكروبات، قياس هالات تثبيط المضادات الحيوية (AST) بالفرجار الدقيق، وتصدير مؤشرات المقاومة البكتيرية لبرنامج منظمة الصحة العالمية WHONET.</w:t>
      </w:r>
    </w:p>
    <w:p>
      <w:pPr>
        <w:bidi w:val="1"/>
        <w:spacing w:before="40" w:after="60"/>
        <w:ind w:right="288"/>
        <w:jc w:val="right"/>
      </w:pPr>
      <w:r>
        <w:rPr>
          <w:rFonts w:ascii="Cairo" w:hAnsi="Cairo"/>
          <w:b/>
          <w:color w:val="0088FE"/>
          <w:sz w:val="19"/>
        </w:rPr>
        <w:t xml:space="preserve">✔  </w:t>
      </w:r>
      <w:r>
        <w:rPr>
          <w:rFonts w:ascii="Cairo" w:hAnsi="Cairo"/>
          <w:color w:val="0F172A"/>
          <w:sz w:val="19"/>
        </w:rPr>
        <w:t>ورقة عمل المزارع البكتيرية: تتبع مراحل الزرع والعزل والصبغات وتحديد هوية الميكروب عبر /lis/microbiology/worksheet/.</w:t>
      </w:r>
    </w:p>
    <w:p>
      <w:pPr>
        <w:bidi w:val="1"/>
        <w:spacing w:before="40" w:after="60"/>
        <w:ind w:right="288"/>
        <w:jc w:val="right"/>
      </w:pPr>
      <w:r>
        <w:rPr>
          <w:rFonts w:ascii="Cairo" w:hAnsi="Cairo"/>
          <w:b/>
          <w:color w:val="0088FE"/>
          <w:sz w:val="19"/>
        </w:rPr>
        <w:t xml:space="preserve">✔  </w:t>
      </w:r>
      <w:r>
        <w:rPr>
          <w:rFonts w:ascii="Cairo" w:hAnsi="Cairo"/>
          <w:color w:val="0F172A"/>
          <w:sz w:val="19"/>
        </w:rPr>
        <w:t>قياس هالة كيربي-باور (Kirby-Bauer Caliper): تسجيل قطر هالة التثبيط بالمليمتر والتحويل الفوري للتصنيف السريري (S / I / R).</w:t>
      </w:r>
    </w:p>
    <w:p>
      <w:pPr>
        <w:bidi w:val="1"/>
        <w:spacing w:before="40" w:after="60"/>
        <w:ind w:right="288"/>
        <w:jc w:val="right"/>
      </w:pPr>
      <w:r>
        <w:rPr>
          <w:rFonts w:ascii="Cairo" w:hAnsi="Cairo"/>
          <w:b/>
          <w:color w:val="0088FE"/>
          <w:sz w:val="19"/>
        </w:rPr>
        <w:t xml:space="preserve">✔  </w:t>
      </w:r>
      <w:r>
        <w:rPr>
          <w:rFonts w:ascii="Cairo" w:hAnsi="Cairo"/>
          <w:color w:val="0F172A"/>
          <w:sz w:val="19"/>
        </w:rPr>
        <w:t>تقرير الأنتيبايوجرام السنوي للمنشأة: رصد إحصائي لنسب استجابة البكتيريا للمضادات الحيوية لدعم برامج مكافحة العدوى عبر /lis/reports/antibiogram/.</w:t>
      </w:r>
    </w:p>
    <w:p>
      <w:pPr>
        <w:bidi w:val="1"/>
        <w:spacing w:before="40" w:after="60"/>
        <w:ind w:right="288"/>
        <w:jc w:val="right"/>
      </w:pPr>
      <w:r>
        <w:rPr>
          <w:rFonts w:ascii="Cairo" w:hAnsi="Cairo"/>
          <w:b/>
          <w:color w:val="0088FE"/>
          <w:sz w:val="19"/>
        </w:rPr>
        <w:t xml:space="preserve">✔  </w:t>
      </w:r>
      <w:r>
        <w:rPr>
          <w:rFonts w:ascii="Cairo" w:hAnsi="Cairo"/>
          <w:color w:val="0F172A"/>
          <w:sz w:val="19"/>
        </w:rPr>
        <w:t>تصدير ترصد منظمة الصحة العالمية (WHO WHONET): استخراج ملفات الرصد الوبائي المعتمدة دولياً عبر /lis/microbiology/whonet-export/.</w:t>
      </w:r>
    </w:p>
    <w:p>
      <w:pPr>
        <w:bidi w:val="1"/>
        <w:spacing w:before="120" w:after="240"/>
        <w:jc w:val="right"/>
      </w:pPr>
      <w:r>
        <w:rPr>
          <w:rFonts w:ascii="Cairo" w:hAnsi="Cairo"/>
          <w:b/>
          <w:color w:val="0B1E40"/>
          <w:sz w:val="18"/>
        </w:rPr>
        <w:t xml:space="preserve">🔗 الرابط المباشر في المنظومة: </w:t>
      </w:r>
      <w:r>
        <w:rPr>
          <w:rFonts w:ascii="Outfit" w:hAnsi="Outfit"/>
          <w:color w:val="0033CC"/>
          <w:sz w:val="18"/>
          <w:u w:val="single"/>
        </w:rPr>
        <w:t>https://yemenhealthos.com/ar/lis/microbiology/worksheet/</w:t>
      </w:r>
    </w:p>
    <w:p>
      <w:pPr>
        <w:bidi w:val="1"/>
        <w:spacing w:before="320" w:after="80"/>
        <w:jc w:val="right"/>
      </w:pPr>
      <w:r>
        <w:rPr>
          <w:rFonts w:ascii="Cairo" w:hAnsi="Cairo"/>
          <w:b/>
          <w:color w:val="0033CC"/>
          <w:sz w:val="27"/>
        </w:rPr>
        <w:t xml:space="preserve">الموديول 8: </w:t>
      </w:r>
      <w:r>
        <w:rPr>
          <w:rFonts w:ascii="Cairo" w:hAnsi="Cairo"/>
          <w:b/>
          <w:color w:val="0B1E40"/>
          <w:sz w:val="27"/>
        </w:rPr>
        <w:t>التشخيص النسيجي للأورام، الجينوم الجزيئي والسموم الشرعية (Pathology, NGS &amp; Toxicology)</w:t>
      </w:r>
    </w:p>
    <w:p>
      <w:pPr>
        <w:bidi w:val="1"/>
        <w:spacing w:after="160"/>
        <w:jc w:val="right"/>
      </w:pPr>
      <w:r>
        <w:rPr>
          <w:rFonts w:ascii="Cairo" w:hAnsi="Cairo"/>
          <w:color w:val="0F172A"/>
          <w:sz w:val="20"/>
        </w:rPr>
        <w:t>مسارات متقدمة للخزعات الجراحية واستعراض الشرائح الرقمية عالية الدقة 40x WSI، سلاسل الجينوم NGS، وسلسلة الحيازة القانونية للعينات الجنائية.</w:t>
      </w:r>
    </w:p>
    <w:p>
      <w:pPr>
        <w:bidi w:val="1"/>
        <w:spacing w:before="40" w:after="60"/>
        <w:ind w:right="288"/>
        <w:jc w:val="right"/>
      </w:pPr>
      <w:r>
        <w:rPr>
          <w:rFonts w:ascii="Cairo" w:hAnsi="Cairo"/>
          <w:b/>
          <w:color w:val="0088FE"/>
          <w:sz w:val="19"/>
        </w:rPr>
        <w:t xml:space="preserve">✔  </w:t>
      </w:r>
      <w:r>
        <w:rPr>
          <w:rFonts w:ascii="Cairo" w:hAnsi="Cairo"/>
          <w:color w:val="0F172A"/>
          <w:sz w:val="19"/>
        </w:rPr>
        <w:t>سجل حالات الأنسجة والخزعات: تتبع مراحل العينة النسيجية (المطابقة ➔ التقطيع ➔ الصبغ ➔ القراءة والاعتماد) عبر /lis/pathology/cases/.</w:t>
      </w:r>
    </w:p>
    <w:p>
      <w:pPr>
        <w:bidi w:val="1"/>
        <w:spacing w:before="40" w:after="60"/>
        <w:ind w:right="288"/>
        <w:jc w:val="right"/>
      </w:pPr>
      <w:r>
        <w:rPr>
          <w:rFonts w:ascii="Cairo" w:hAnsi="Cairo"/>
          <w:b/>
          <w:color w:val="0088FE"/>
          <w:sz w:val="19"/>
        </w:rPr>
        <w:t xml:space="preserve">✔  </w:t>
      </w:r>
      <w:r>
        <w:rPr>
          <w:rFonts w:ascii="Cairo" w:hAnsi="Cairo"/>
          <w:color w:val="0F172A"/>
          <w:sz w:val="19"/>
        </w:rPr>
        <w:t>مستعرض الشرائح الرقمية (WSI Viewer): فحص الشرائح الممسوحة رقمياً بدقة 40x وتطبيق أدوات القياس وتحديد حواف الورم إلكترونياً.</w:t>
      </w:r>
    </w:p>
    <w:p>
      <w:pPr>
        <w:bidi w:val="1"/>
        <w:spacing w:before="40" w:after="60"/>
        <w:ind w:right="288"/>
        <w:jc w:val="right"/>
      </w:pPr>
      <w:r>
        <w:rPr>
          <w:rFonts w:ascii="Cairo" w:hAnsi="Cairo"/>
          <w:b/>
          <w:color w:val="0088FE"/>
          <w:sz w:val="19"/>
        </w:rPr>
        <w:t xml:space="preserve">✔  </w:t>
      </w:r>
      <w:r>
        <w:rPr>
          <w:rFonts w:ascii="Cairo" w:hAnsi="Cairo"/>
          <w:color w:val="0F172A"/>
          <w:sz w:val="19"/>
        </w:rPr>
        <w:t>سلسلة الحيازة للسموم والطب الشرعي (Chain of Custody): توثيق استلام ونقل وتحريز العينات الجنائية بتوقيع إلكتروني ملزم قانونياً.</w:t>
      </w:r>
    </w:p>
    <w:p>
      <w:pPr>
        <w:bidi w:val="1"/>
        <w:spacing w:before="40" w:after="60"/>
        <w:ind w:right="288"/>
        <w:jc w:val="right"/>
      </w:pPr>
      <w:r>
        <w:rPr>
          <w:rFonts w:ascii="Cairo" w:hAnsi="Cairo"/>
          <w:b/>
          <w:color w:val="0088FE"/>
          <w:sz w:val="19"/>
        </w:rPr>
        <w:t xml:space="preserve">✔  </w:t>
      </w:r>
      <w:r>
        <w:rPr>
          <w:rFonts w:ascii="Cairo" w:hAnsi="Cairo"/>
          <w:color w:val="0F172A"/>
          <w:sz w:val="19"/>
        </w:rPr>
        <w:t>خريطة التجميد الحيوي (Biobank Storage Map): إدارة مواقع العينات داخل مجمدات النيتروجين والحرارة الفائقة عبر /lis/biobank/storage-map/.</w:t>
      </w:r>
    </w:p>
    <w:p>
      <w:pPr>
        <w:bidi w:val="1"/>
        <w:spacing w:before="120" w:after="240"/>
        <w:jc w:val="right"/>
      </w:pPr>
      <w:r>
        <w:rPr>
          <w:rFonts w:ascii="Cairo" w:hAnsi="Cairo"/>
          <w:b/>
          <w:color w:val="0B1E40"/>
          <w:sz w:val="18"/>
        </w:rPr>
        <w:t xml:space="preserve">🔗 الرابط المباشر في المنظومة: </w:t>
      </w:r>
      <w:r>
        <w:rPr>
          <w:rFonts w:ascii="Outfit" w:hAnsi="Outfit"/>
          <w:color w:val="0033CC"/>
          <w:sz w:val="18"/>
          <w:u w:val="single"/>
        </w:rPr>
        <w:t>https://yemenhealthos.com/ar/lis/pathology/cases/</w:t>
      </w:r>
    </w:p>
    <w:p>
      <w:pPr>
        <w:bidi w:val="1"/>
        <w:spacing w:before="320" w:after="80"/>
        <w:jc w:val="right"/>
      </w:pPr>
      <w:r>
        <w:rPr>
          <w:rFonts w:ascii="Cairo" w:hAnsi="Cairo"/>
          <w:b/>
          <w:color w:val="0033CC"/>
          <w:sz w:val="27"/>
        </w:rPr>
        <w:t xml:space="preserve">الموديول 9: </w:t>
      </w:r>
      <w:r>
        <w:rPr>
          <w:rFonts w:ascii="Cairo" w:hAnsi="Cairo"/>
          <w:b/>
          <w:color w:val="0B1E40"/>
          <w:sz w:val="27"/>
        </w:rPr>
        <w:t>الذكاء الاصطناعي للمجهر والرصد البيئي ومراقبة زمن الإنجاز (AI Vision, IoT &amp; SLA TAT)</w:t>
      </w:r>
    </w:p>
    <w:p>
      <w:pPr>
        <w:bidi w:val="1"/>
        <w:spacing w:after="160"/>
        <w:jc w:val="right"/>
      </w:pPr>
      <w:r>
        <w:rPr>
          <w:rFonts w:ascii="Cairo" w:hAnsi="Cairo"/>
          <w:color w:val="0F172A"/>
          <w:sz w:val="20"/>
        </w:rPr>
        <w:t>دمج الرؤية الحاسوبية لفحص مسحات الدم المجهرية 100x، التلخيص السريري التوليدي، ومراقبة درجات حرارة الثلاجات والمعدات بحساسات IoT اللحظية.</w:t>
      </w:r>
    </w:p>
    <w:p>
      <w:pPr>
        <w:bidi w:val="1"/>
        <w:spacing w:before="40" w:after="60"/>
        <w:ind w:right="288"/>
        <w:jc w:val="right"/>
      </w:pPr>
      <w:r>
        <w:rPr>
          <w:rFonts w:ascii="Cairo" w:hAnsi="Cairo"/>
          <w:b/>
          <w:color w:val="0088FE"/>
          <w:sz w:val="19"/>
        </w:rPr>
        <w:t xml:space="preserve">✔  </w:t>
      </w:r>
      <w:r>
        <w:rPr>
          <w:rFonts w:ascii="Cairo" w:hAnsi="Cairo"/>
          <w:color w:val="0F172A"/>
          <w:sz w:val="19"/>
        </w:rPr>
        <w:t>فحص مسحات الدم بالذكاء الاصطناعي: تمييز وعد خلايا الدم البيضاء وتصنيف أشكال كريات الدم الحمراء الشاذة عبر /lis/ai/microscopy-smear/.</w:t>
      </w:r>
    </w:p>
    <w:p>
      <w:pPr>
        <w:bidi w:val="1"/>
        <w:spacing w:before="40" w:after="60"/>
        <w:ind w:right="288"/>
        <w:jc w:val="right"/>
      </w:pPr>
      <w:r>
        <w:rPr>
          <w:rFonts w:ascii="Cairo" w:hAnsi="Cairo"/>
          <w:b/>
          <w:color w:val="0088FE"/>
          <w:sz w:val="19"/>
        </w:rPr>
        <w:t xml:space="preserve">✔  </w:t>
      </w:r>
      <w:r>
        <w:rPr>
          <w:rFonts w:ascii="Cairo" w:hAnsi="Cairo"/>
          <w:color w:val="0F172A"/>
          <w:sz w:val="19"/>
        </w:rPr>
        <w:t>الملخص التفسيري لدعم القرار السريري: توليد تقرير استنتاجي ذكي ومقترحات الفحوصات التكميلية عبر خوارزميات الذكاء الاصطناعي المتقدمة.</w:t>
      </w:r>
    </w:p>
    <w:p>
      <w:pPr>
        <w:bidi w:val="1"/>
        <w:spacing w:before="40" w:after="60"/>
        <w:ind w:right="288"/>
        <w:jc w:val="right"/>
      </w:pPr>
      <w:r>
        <w:rPr>
          <w:rFonts w:ascii="Cairo" w:hAnsi="Cairo"/>
          <w:b/>
          <w:color w:val="0088FE"/>
          <w:sz w:val="19"/>
        </w:rPr>
        <w:t xml:space="preserve">✔  </w:t>
      </w:r>
      <w:r>
        <w:rPr>
          <w:rFonts w:ascii="Cairo" w:hAnsi="Cairo"/>
          <w:color w:val="0F172A"/>
          <w:sz w:val="19"/>
        </w:rPr>
        <w:t>رادار مراقبة وقت إنجاز الفحوصات (TAT Monitor): مؤشرات حية لمراقبة زمن خروج النتيجة من وقت السحب وحتى الاعتماد عبر /lis/analytics/tat-monitor/.</w:t>
      </w:r>
    </w:p>
    <w:p>
      <w:pPr>
        <w:bidi w:val="1"/>
        <w:spacing w:before="40" w:after="60"/>
        <w:ind w:right="288"/>
        <w:jc w:val="right"/>
      </w:pPr>
      <w:r>
        <w:rPr>
          <w:rFonts w:ascii="Cairo" w:hAnsi="Cairo"/>
          <w:b/>
          <w:color w:val="0088FE"/>
          <w:sz w:val="19"/>
        </w:rPr>
        <w:t xml:space="preserve">✔  </w:t>
      </w:r>
      <w:r>
        <w:rPr>
          <w:rFonts w:ascii="Cairo" w:hAnsi="Cairo"/>
          <w:color w:val="0F172A"/>
          <w:sz w:val="19"/>
        </w:rPr>
        <w:t>حساسات التبريد البيئية (IoT Sensors): رصد مستمر للحرارة والرطوبة لثلاجات حفظ الدم والكواشف مع إرسال إنذارات فورية عند أي خلل عبر /lis/inventory/sensors/.</w:t>
      </w:r>
    </w:p>
    <w:p>
      <w:pPr>
        <w:bidi w:val="1"/>
        <w:spacing w:before="120" w:after="240"/>
        <w:jc w:val="right"/>
      </w:pPr>
      <w:r>
        <w:rPr>
          <w:rFonts w:ascii="Cairo" w:hAnsi="Cairo"/>
          <w:b/>
          <w:color w:val="0B1E40"/>
          <w:sz w:val="18"/>
        </w:rPr>
        <w:t xml:space="preserve">🔗 الرابط المباشر في المنظومة: </w:t>
      </w:r>
      <w:r>
        <w:rPr>
          <w:rFonts w:ascii="Outfit" w:hAnsi="Outfit"/>
          <w:color w:val="0033CC"/>
          <w:sz w:val="18"/>
          <w:u w:val="single"/>
        </w:rPr>
        <w:t>https://yemenhealthos.com/ar/lis/analytics/tat-monitor/</w:t>
      </w:r>
    </w:p>
    <w:p>
      <w:pPr>
        <w:bidi w:val="1"/>
        <w:spacing w:before="320" w:after="80"/>
        <w:jc w:val="right"/>
      </w:pPr>
      <w:r>
        <w:rPr>
          <w:rFonts w:ascii="Cairo" w:hAnsi="Cairo"/>
          <w:b/>
          <w:color w:val="0033CC"/>
          <w:sz w:val="27"/>
        </w:rPr>
        <w:t xml:space="preserve">الموديول 10: </w:t>
      </w:r>
      <w:r>
        <w:rPr>
          <w:rFonts w:ascii="Cairo" w:hAnsi="Cairo"/>
          <w:b/>
          <w:color w:val="0B1E40"/>
          <w:sz w:val="27"/>
        </w:rPr>
        <w:t>الحسابات وعمولات الأطباء، فاحص المطالبات والإرسال الخارجي (Commissions, RCM &amp; Logistics)</w:t>
      </w:r>
    </w:p>
    <w:p>
      <w:pPr>
        <w:bidi w:val="1"/>
        <w:spacing w:after="160"/>
        <w:jc w:val="right"/>
      </w:pPr>
      <w:r>
        <w:rPr>
          <w:rFonts w:ascii="Cairo" w:hAnsi="Cairo"/>
          <w:color w:val="0F172A"/>
          <w:sz w:val="20"/>
        </w:rPr>
        <w:t>حوكمة الإيرادات المخبرية، احتساب وتصفية عمولات الأطباء المحيلين بدفتر محاسبي غير قابل للتلاعب، وفحص المطالبات التأمينية لمنع الرفض المالي.</w:t>
      </w:r>
    </w:p>
    <w:p>
      <w:pPr>
        <w:bidi w:val="1"/>
        <w:spacing w:before="40" w:after="60"/>
        <w:ind w:right="288"/>
        <w:jc w:val="right"/>
      </w:pPr>
      <w:r>
        <w:rPr>
          <w:rFonts w:ascii="Cairo" w:hAnsi="Cairo"/>
          <w:b/>
          <w:color w:val="0088FE"/>
          <w:sz w:val="19"/>
        </w:rPr>
        <w:t xml:space="preserve">✔  </w:t>
      </w:r>
      <w:r>
        <w:rPr>
          <w:rFonts w:ascii="Cairo" w:hAnsi="Cairo"/>
          <w:color w:val="0F172A"/>
          <w:sz w:val="19"/>
        </w:rPr>
        <w:t>دفتر عمولات وحسابات الأطباء المحيلين: احتساب دقيق لعمولات الأطباء عبر /lis/finance/commissions/ وفق مصفوفة نسب مخصصة لكل فحص.</w:t>
      </w:r>
    </w:p>
    <w:p>
      <w:pPr>
        <w:bidi w:val="1"/>
        <w:spacing w:before="40" w:after="60"/>
        <w:ind w:right="288"/>
        <w:jc w:val="right"/>
      </w:pPr>
      <w:r>
        <w:rPr>
          <w:rFonts w:ascii="Cairo" w:hAnsi="Cairo"/>
          <w:b/>
          <w:color w:val="0088FE"/>
          <w:sz w:val="19"/>
        </w:rPr>
        <w:t xml:space="preserve">✔  </w:t>
      </w:r>
      <w:r>
        <w:rPr>
          <w:rFonts w:ascii="Cairo" w:hAnsi="Cairo"/>
          <w:color w:val="0F172A"/>
          <w:sz w:val="19"/>
        </w:rPr>
        <w:t>التسوية المجمعة وصرف العمولات (Batch Payout): تصفية مستحقات الأطباء دفعة واحدة وتوليد سند الصرف الرسمي برقم تسوية موثق عبر /lis/finance/commissions/batch-settle/.</w:t>
      </w:r>
    </w:p>
    <w:p>
      <w:pPr>
        <w:bidi w:val="1"/>
        <w:spacing w:before="40" w:after="60"/>
        <w:ind w:right="288"/>
        <w:jc w:val="right"/>
      </w:pPr>
      <w:r>
        <w:rPr>
          <w:rFonts w:ascii="Cairo" w:hAnsi="Cairo"/>
          <w:b/>
          <w:color w:val="0088FE"/>
          <w:sz w:val="19"/>
        </w:rPr>
        <w:t xml:space="preserve">✔  </w:t>
      </w:r>
      <w:r>
        <w:rPr>
          <w:rFonts w:ascii="Cairo" w:hAnsi="Cairo"/>
          <w:color w:val="0F172A"/>
          <w:sz w:val="19"/>
        </w:rPr>
        <w:t>فاحص المطالبات التأمينية (Claim Scrubber): التحقق الآلي من تطابق كود الفحص المخبري مع التشخيص الطبي ICD-10 قبل إرسال المطالبة التأمينية.</w:t>
      </w:r>
    </w:p>
    <w:p>
      <w:pPr>
        <w:bidi w:val="1"/>
        <w:spacing w:before="40" w:after="60"/>
        <w:ind w:right="288"/>
        <w:jc w:val="right"/>
      </w:pPr>
      <w:r>
        <w:rPr>
          <w:rFonts w:ascii="Cairo" w:hAnsi="Cairo"/>
          <w:b/>
          <w:color w:val="0088FE"/>
          <w:sz w:val="19"/>
        </w:rPr>
        <w:t xml:space="preserve">✔  </w:t>
      </w:r>
      <w:r>
        <w:rPr>
          <w:rFonts w:ascii="Cairo" w:hAnsi="Cairo"/>
          <w:color w:val="0F172A"/>
          <w:sz w:val="19"/>
        </w:rPr>
        <w:t>منافيست العينات المحولة خارجياً (Send-Out Manifests): تتبع العينات المرسلة للمختبرات المرجعية الشريكة ومتابعة درجات حرارة شحنها ونتائجها عبر /lis/logistics/outsource-manifests/.</w:t>
      </w:r>
    </w:p>
    <w:p>
      <w:pPr>
        <w:bidi w:val="1"/>
        <w:spacing w:before="120" w:after="240"/>
        <w:jc w:val="right"/>
      </w:pPr>
      <w:r>
        <w:rPr>
          <w:rFonts w:ascii="Cairo" w:hAnsi="Cairo"/>
          <w:b/>
          <w:color w:val="0B1E40"/>
          <w:sz w:val="18"/>
        </w:rPr>
        <w:t xml:space="preserve">🔗 الرابط المباشر في المنظومة: </w:t>
      </w:r>
      <w:r>
        <w:rPr>
          <w:rFonts w:ascii="Outfit" w:hAnsi="Outfit"/>
          <w:color w:val="0033CC"/>
          <w:sz w:val="18"/>
          <w:u w:val="single"/>
        </w:rPr>
        <w:t>https://yemenhealthos.com/ar/lis/finance/commissions/</w:t>
      </w:r>
    </w:p>
    <w:p>
      <w:r>
        <w:br w:type="page"/>
      </w:r>
    </w:p>
    <w:p>
      <w:pPr>
        <w:bidi w:val="1"/>
        <w:spacing w:after="200"/>
        <w:jc w:val="right"/>
      </w:pPr>
      <w:r>
        <w:rPr>
          <w:rFonts w:ascii="Cairo" w:hAnsi="Cairo"/>
          <w:b/>
          <w:color w:val="0B1E40"/>
          <w:sz w:val="30"/>
        </w:rPr>
        <w:t>ملحق: اختصارات لوحة المفاتيح والعمليات السريعة (LIS Hotkeys)</w:t>
      </w:r>
    </w:p>
    <w:tbl>
      <w:tblPr>
        <w:tblW w:type="auto" w:w="0"/>
        <w:jc w:val="center"/>
        <w:tblLook w:firstColumn="1" w:firstRow="1" w:lastColumn="0" w:lastRow="0" w:noHBand="0" w:noVBand="1" w:val="04A0"/>
        <w:bidiVisual/>
      </w:tblPr>
      <w:tblGrid>
        <w:gridCol w:w="3216"/>
        <w:gridCol w:w="3216"/>
        <w:gridCol w:w="3216"/>
      </w:tblGrid>
      <w:tr>
        <w:tc>
          <w:tcPr>
            <w:tcW w:type="dxa" w:w="3216"/>
            <w:shd w:fill="0033CC"/>
            <w:tcMar>
              <w:top w:w="90" w:type="dxa"/>
              <w:bottom w:w="90" w:type="dxa"/>
              <w:left w:w="130" w:type="dxa"/>
              <w:right w:w="13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b/>
                <w:color w:val="FFFFFF"/>
              </w:rPr>
              <w:t>مفتاح الاختصار (HotKey)</w:t>
            </w:r>
          </w:p>
        </w:tc>
        <w:tc>
          <w:tcPr>
            <w:tcW w:type="dxa" w:w="3216"/>
            <w:shd w:fill="0033CC"/>
            <w:tcMar>
              <w:top w:w="90" w:type="dxa"/>
              <w:bottom w:w="90" w:type="dxa"/>
              <w:left w:w="130" w:type="dxa"/>
              <w:right w:w="13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b/>
                <w:color w:val="FFFFFF"/>
              </w:rPr>
              <w:t>الوظيفة السريرية</w:t>
            </w:r>
          </w:p>
        </w:tc>
        <w:tc>
          <w:tcPr>
            <w:tcW w:type="dxa" w:w="3216"/>
            <w:shd w:fill="0033CC"/>
            <w:tcMar>
              <w:top w:w="90" w:type="dxa"/>
              <w:bottom w:w="90" w:type="dxa"/>
              <w:left w:w="130" w:type="dxa"/>
              <w:right w:w="13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b/>
                <w:color w:val="FFFFFF"/>
              </w:rPr>
              <w:t>الأثر الفوري في النظام</w:t>
            </w:r>
          </w:p>
        </w:tc>
      </w:tr>
      <w:tr>
        <w:tc>
          <w:tcPr>
            <w:tcW w:type="dxa" w:w="3216"/>
            <w:shd w:fill="FFFFFF"/>
            <w:tcMar>
              <w:top w:w="70" w:type="dxa"/>
              <w:bottom w:w="70" w:type="dxa"/>
              <w:left w:w="110" w:type="dxa"/>
              <w:right w:w="11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b/>
                <w:color w:val="0033CC"/>
                <w:sz w:val="19"/>
              </w:rPr>
              <w:t>F2</w:t>
            </w:r>
          </w:p>
        </w:tc>
        <w:tc>
          <w:tcPr>
            <w:tcW w:type="dxa" w:w="3216"/>
            <w:shd w:fill="FFFFFF"/>
            <w:tcMar>
              <w:top w:w="70" w:type="dxa"/>
              <w:bottom w:w="70" w:type="dxa"/>
              <w:left w:w="110" w:type="dxa"/>
              <w:right w:w="11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color w:val="0F172A"/>
                <w:sz w:val="19"/>
              </w:rPr>
              <w:t>التركيز على ماسح الباركود</w:t>
            </w:r>
          </w:p>
        </w:tc>
        <w:tc>
          <w:tcPr>
            <w:tcW w:type="dxa" w:w="3216"/>
            <w:shd w:fill="FFFFFF"/>
            <w:tcMar>
              <w:top w:w="70" w:type="dxa"/>
              <w:bottom w:w="70" w:type="dxa"/>
              <w:left w:w="110" w:type="dxa"/>
              <w:right w:w="11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color w:val="0F172A"/>
                <w:sz w:val="19"/>
              </w:rPr>
              <w:t>وضع المؤشر في خانة قراءة الأنابيب فورياً</w:t>
            </w:r>
          </w:p>
        </w:tc>
      </w:tr>
      <w:tr>
        <w:tc>
          <w:tcPr>
            <w:tcW w:type="dxa" w:w="3216"/>
            <w:shd w:fill="F8FAFC"/>
            <w:tcMar>
              <w:top w:w="70" w:type="dxa"/>
              <w:bottom w:w="70" w:type="dxa"/>
              <w:left w:w="110" w:type="dxa"/>
              <w:right w:w="11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b/>
                <w:color w:val="0033CC"/>
                <w:sz w:val="19"/>
              </w:rPr>
              <w:t>F4</w:t>
            </w:r>
          </w:p>
        </w:tc>
        <w:tc>
          <w:tcPr>
            <w:tcW w:type="dxa" w:w="3216"/>
            <w:shd w:fill="F8FAFC"/>
            <w:tcMar>
              <w:top w:w="70" w:type="dxa"/>
              <w:bottom w:w="70" w:type="dxa"/>
              <w:left w:w="110" w:type="dxa"/>
              <w:right w:w="11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color w:val="0F172A"/>
                <w:sz w:val="19"/>
              </w:rPr>
              <w:t>الاعتماد السريع للطبيعي</w:t>
            </w:r>
          </w:p>
        </w:tc>
        <w:tc>
          <w:tcPr>
            <w:tcW w:type="dxa" w:w="3216"/>
            <w:shd w:fill="F8FAFC"/>
            <w:tcMar>
              <w:top w:w="70" w:type="dxa"/>
              <w:bottom w:w="70" w:type="dxa"/>
              <w:left w:w="110" w:type="dxa"/>
              <w:right w:w="11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color w:val="0F172A"/>
                <w:sz w:val="19"/>
              </w:rPr>
              <w:t>اعتماد كافة النتائج الطبيعية السليمة للطلب دفعة واحدة</w:t>
            </w:r>
          </w:p>
        </w:tc>
      </w:tr>
      <w:tr>
        <w:tc>
          <w:tcPr>
            <w:tcW w:type="dxa" w:w="3216"/>
            <w:shd w:fill="FFFFFF"/>
            <w:tcMar>
              <w:top w:w="70" w:type="dxa"/>
              <w:bottom w:w="70" w:type="dxa"/>
              <w:left w:w="110" w:type="dxa"/>
              <w:right w:w="11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b/>
                <w:color w:val="0033CC"/>
                <w:sz w:val="19"/>
              </w:rPr>
              <w:t>F8</w:t>
            </w:r>
          </w:p>
        </w:tc>
        <w:tc>
          <w:tcPr>
            <w:tcW w:type="dxa" w:w="3216"/>
            <w:shd w:fill="FFFFFF"/>
            <w:tcMar>
              <w:top w:w="70" w:type="dxa"/>
              <w:bottom w:w="70" w:type="dxa"/>
              <w:left w:w="110" w:type="dxa"/>
              <w:right w:w="11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color w:val="0F172A"/>
                <w:sz w:val="19"/>
              </w:rPr>
              <w:t>طباعة التقرير التراكمي</w:t>
            </w:r>
          </w:p>
        </w:tc>
        <w:tc>
          <w:tcPr>
            <w:tcW w:type="dxa" w:w="3216"/>
            <w:shd w:fill="FFFFFF"/>
            <w:tcMar>
              <w:top w:w="70" w:type="dxa"/>
              <w:bottom w:w="70" w:type="dxa"/>
              <w:left w:w="110" w:type="dxa"/>
              <w:right w:w="11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color w:val="0F172A"/>
                <w:sz w:val="19"/>
              </w:rPr>
              <w:t>تصدير التقرير النهائي الشامل والمقارنات التاريخية</w:t>
            </w:r>
          </w:p>
        </w:tc>
      </w:tr>
      <w:tr>
        <w:tc>
          <w:tcPr>
            <w:tcW w:type="dxa" w:w="3216"/>
            <w:shd w:fill="F8FAFC"/>
            <w:tcMar>
              <w:top w:w="70" w:type="dxa"/>
              <w:bottom w:w="70" w:type="dxa"/>
              <w:left w:w="110" w:type="dxa"/>
              <w:right w:w="11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b/>
                <w:color w:val="0033CC"/>
                <w:sz w:val="19"/>
              </w:rPr>
              <w:t>Alt + D</w:t>
            </w:r>
          </w:p>
        </w:tc>
        <w:tc>
          <w:tcPr>
            <w:tcW w:type="dxa" w:w="3216"/>
            <w:shd w:fill="F8FAFC"/>
            <w:tcMar>
              <w:top w:w="70" w:type="dxa"/>
              <w:bottom w:w="70" w:type="dxa"/>
              <w:left w:w="110" w:type="dxa"/>
              <w:right w:w="11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color w:val="0F172A"/>
                <w:sz w:val="19"/>
              </w:rPr>
              <w:t>تطبيق معامل التخفيف</w:t>
            </w:r>
          </w:p>
        </w:tc>
        <w:tc>
          <w:tcPr>
            <w:tcW w:type="dxa" w:w="3216"/>
            <w:shd w:fill="F8FAFC"/>
            <w:tcMar>
              <w:top w:w="70" w:type="dxa"/>
              <w:bottom w:w="70" w:type="dxa"/>
              <w:left w:w="110" w:type="dxa"/>
              <w:right w:w="11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color w:val="0F172A"/>
                <w:sz w:val="19"/>
              </w:rPr>
              <w:t>ضرب القيمة بالمعامل التحليلي عند تجاوز حد الجهاز</w:t>
            </w:r>
          </w:p>
        </w:tc>
      </w:tr>
      <w:tr>
        <w:tc>
          <w:tcPr>
            <w:tcW w:type="dxa" w:w="3216"/>
            <w:shd w:fill="FFFFFF"/>
            <w:tcMar>
              <w:top w:w="70" w:type="dxa"/>
              <w:bottom w:w="70" w:type="dxa"/>
              <w:left w:w="110" w:type="dxa"/>
              <w:right w:w="11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b/>
                <w:color w:val="0033CC"/>
                <w:sz w:val="19"/>
              </w:rPr>
              <w:t>Ctrl + P</w:t>
            </w:r>
          </w:p>
        </w:tc>
        <w:tc>
          <w:tcPr>
            <w:tcW w:type="dxa" w:w="3216"/>
            <w:shd w:fill="FFFFFF"/>
            <w:tcMar>
              <w:top w:w="70" w:type="dxa"/>
              <w:bottom w:w="70" w:type="dxa"/>
              <w:left w:w="110" w:type="dxa"/>
              <w:right w:w="11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color w:val="0F172A"/>
                <w:sz w:val="19"/>
              </w:rPr>
              <w:t>طباعة باركود الأنابيب</w:t>
            </w:r>
          </w:p>
        </w:tc>
        <w:tc>
          <w:tcPr>
            <w:tcW w:type="dxa" w:w="3216"/>
            <w:shd w:fill="FFFFFF"/>
            <w:tcMar>
              <w:top w:w="70" w:type="dxa"/>
              <w:bottom w:w="70" w:type="dxa"/>
              <w:left w:w="110" w:type="dxa"/>
              <w:right w:w="110" w:type="dxa"/>
            </w:tcMar>
          </w:tcPr>
          <w:p>
            <w:pPr>
              <w:bidi w:val="1"/>
              <w:jc w:val="right"/>
            </w:pPr>
            <w:r>
              <w:rPr>
                <w:rFonts w:ascii="Cairo" w:hAnsi="Cairo"/>
                <w:color w:val="0F172A"/>
                <w:sz w:val="19"/>
              </w:rPr>
              <w:t>إرسال أوامر الطباعة لطابعات الزيبرا ZPL مباشرة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296" w:right="1296" w:bottom="1296" w:left="1296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bidi w:val="1"/>
      <w:jc w:val="right"/>
    </w:pPr>
    <w:r>
      <w:rPr>
        <w:rFonts w:ascii="Cairo" w:hAnsi="Cairo"/>
        <w:color w:val="64748B"/>
        <w:sz w:val="17"/>
      </w:rPr>
      <w:t>شبكة صحة اليمن السيادية © 2026 — البوابة الرسمية https://yemenhealthos.com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bidi w:val="1"/>
      <w:jc w:val="right"/>
    </w:pPr>
    <w:r>
      <w:rPr>
        <w:rFonts w:ascii="Cairo" w:hAnsi="Cairo"/>
        <w:color w:val="64748B"/>
        <w:sz w:val="17"/>
      </w:rPr>
      <w:t>منظومة رابِط لِـس للمختبرات وبنوك الدم | الدليل التشغيلي المعتمد v1.1.2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